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Вахлов С.Г., Бурцев С.А., Данилов В.О.,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Егоров В.В., Поспелов И.В., Деминов Д.А.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Послеоперационные осложнения после перкутанной нефролитотрипсии у пациентов с мочекаменной болезнью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ГБУЗ СО «СОКБ№1», г.Екатеринбург., ГБОУ ВПО УГМУ Минздрава России, г.Екатеринбург.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Vakhlov S.G., Burtsev S.A., Danilov V.O., Egorov V.V., Pospelov I.V.,  Deminov D.A.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Postoperative complications after percutaneous nephrolithotripsy in patients with urolithiasis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Резюме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Кровотечение, повреждение соседних органов и структур, ранение плевральной полости, развивающееся при перкутанной нефролитотрипсии, являются серьезными осложнениями оперативного лечения мочекаменной болезни. Цель данной работы ретроспективный анализ осложнений после выполнения перкутанной нефролитотрипсии. Большинство осложнений связано с неоптимальным выбором и проведением оперативного доступа и неадекватной оценкой степени бактериурии. Тем не менее, частота осложнений при ЧНЛ остается весьма низкой по сравнению с другими методами лечения коралловидного нефролитиаза.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Ключевые слова</w:t>
      </w:r>
      <w:r>
        <w:rPr>
          <w:rFonts w:cs="Times New Roman" w:ascii="Times New Roman" w:hAnsi="Times New Roman"/>
          <w:sz w:val="28"/>
          <w:szCs w:val="28"/>
        </w:rPr>
        <w:t>: мочекаменная болезнь, перкутанная нефролитотрипсия, осложнения, коралловидный нефролитиаз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Summary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Cs/>
          <w:sz w:val="28"/>
          <w:szCs w:val="28"/>
          <w:lang w:val="en-US"/>
        </w:rPr>
        <w:t>Bleeding, damage to adjacent organs and structures, pleural injury when developing PNL, is a serious complication of surgical treatment of urolithiasis. The purpose of this study a retrospective analysis of complications after the PNL. Most of the complications associated with sub-optimal choices and conduct real-time access and inadequate assessment of the degree of bacteriuria. Nevertheless, the frequency of complications of PNL remains very low compared with other treatments staghorn nephrolithiasis.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Keywords: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 xml:space="preserve"> urolithiasis, PNL, complications, staghorn nephrolithiasis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Вахлов С.Г., к.м.н., ассистент кафедры урологии ГБОУ ВПО УГМУ, заведующий отделением дистанционного дробления камней ГБУЗ СО «СОКБ№1», г.Екатеринбург., тел.(343) 240-45-67,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en-US"/>
        </w:rPr>
        <w:t>uro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okb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Бурцев С.А., к.м.н., врач 3 урологического отделения ГБУЗ СО «СОКБ№1», г.Екатеринбург.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Данилов В.О., врач отделения дистанционного дробления камней ГБУЗ СО «СОКБ№1», г.Екатеринбург.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Егоров В.В., </w:t>
      </w:r>
      <w:bookmarkStart w:id="0" w:name="__DdeLink__531_1379893879"/>
      <w:bookmarkEnd w:id="0"/>
      <w:r>
        <w:rPr>
          <w:rFonts w:cs="Times New Roman" w:ascii="Times New Roman" w:hAnsi="Times New Roman"/>
          <w:sz w:val="28"/>
          <w:szCs w:val="28"/>
        </w:rPr>
        <w:t>врач отделения дистанционного дробления камней ГБУЗ СО «СОКБ№1», г.Екатеринбург.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Поспелов И.В., </w:t>
      </w:r>
      <w:r>
        <w:rPr>
          <w:rFonts w:cs="Times New Roman" w:ascii="Times New Roman" w:hAnsi="Times New Roman"/>
          <w:sz w:val="28"/>
          <w:szCs w:val="28"/>
        </w:rPr>
        <w:t>врач отделения дистанционного дробления камней ГБУЗ СО «СОКБ№1», г.Екатеринбург.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Деминов Д.А., врач 3 урологического отделения ГБУЗ СО «СОКБ№1», г.Екатеринбург.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Введение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Одной из наиболее сложных проблем урологии является лечение больных с к</w:t>
      </w:r>
      <w:r>
        <w:rPr>
          <w:rFonts w:cs="Times New Roman" w:ascii="Times New Roman" w:hAnsi="Times New Roman"/>
          <w:sz w:val="28"/>
          <w:szCs w:val="28"/>
        </w:rPr>
        <w:t>рупными и множественными камнями почек</w:t>
      </w:r>
      <w:r>
        <w:rPr>
          <w:rFonts w:cs="Times New Roman" w:ascii="Times New Roman" w:hAnsi="Times New Roman"/>
          <w:sz w:val="28"/>
          <w:szCs w:val="28"/>
        </w:rPr>
        <w:t>. Эндоскопические методы удаления конкрементов предполагают меньшую хирургическую травму почки и, следовательно, низкий риск прогрессирования нарушения функции почки. В силу малой частоты осложнений и высокой эффективности лечения эндоскопические процедуры такие, как перкутанная нефролитотрипсия (ПНЛ) и ретроградная интраренальная хирургия (РИРХ), в настоящее время занимают ведущее место. [1] Эффективность лечения во многом зависит от навыков и опыта хирурга. Это связано с тем, что сама технология выполнения перкутанного доступа в чашечно-лоханочную систему несет в себе потенциальный риск развития жизненно опасных осложнений, таких как кровотечение (1-7%), повреждение соседних органов и структур (1-3%), ранение плевральной полости (1-4%), инфекционные осложнения, такие как бактериально – токсический шок и острый пиелонефрит (4–6%)[2,3]  Оперативное лечение пациентов с  к</w:t>
      </w:r>
      <w:r>
        <w:rPr>
          <w:rFonts w:cs="Times New Roman" w:ascii="Times New Roman" w:hAnsi="Times New Roman"/>
          <w:sz w:val="28"/>
          <w:szCs w:val="28"/>
        </w:rPr>
        <w:t>рупными и множественными</w:t>
      </w:r>
      <w:r>
        <w:rPr>
          <w:rFonts w:cs="Times New Roman" w:ascii="Times New Roman" w:hAnsi="Times New Roman"/>
          <w:sz w:val="28"/>
          <w:szCs w:val="28"/>
        </w:rPr>
        <w:t xml:space="preserve"> камнями </w:t>
      </w:r>
      <w:r>
        <w:rPr>
          <w:rFonts w:cs="Times New Roman" w:ascii="Times New Roman" w:hAnsi="Times New Roman"/>
          <w:sz w:val="28"/>
          <w:szCs w:val="28"/>
        </w:rPr>
        <w:t>почек</w:t>
      </w:r>
      <w:r>
        <w:rPr>
          <w:rFonts w:cs="Times New Roman" w:ascii="Times New Roman" w:hAnsi="Times New Roman"/>
          <w:sz w:val="28"/>
          <w:szCs w:val="28"/>
        </w:rPr>
        <w:t xml:space="preserve"> представляет собой сложную проблему и должно быть тщательно спланировано. У пациентов с </w:t>
      </w:r>
      <w:r>
        <w:rPr>
          <w:rFonts w:cs="Times New Roman" w:ascii="Times New Roman" w:hAnsi="Times New Roman"/>
          <w:sz w:val="28"/>
          <w:szCs w:val="28"/>
        </w:rPr>
        <w:t>мочекаменной болезнью</w:t>
      </w:r>
      <w:r>
        <w:rPr>
          <w:rFonts w:cs="Times New Roman" w:ascii="Times New Roman" w:hAnsi="Times New Roman"/>
          <w:sz w:val="28"/>
          <w:szCs w:val="28"/>
        </w:rPr>
        <w:t xml:space="preserve"> при планировании метода оперативного лечения необходимо оценивать ряд дополнительных параметров. Таких как масса тела и телосложение пациента. Строение чашечно – лоханочной системы почки и расположение в ней конкремнета. Плотность камня в единицах Хансфилда, определяемую при помощи Спиральной компьютерной томографии (СКТ). Плотность 500-800 Hu-быстрая дезинтеграция, одноэтапная операция. 1000-1500 Hu-высокий процент двух и более этапного лечения. [4,5] Коагулограмма: при ПТИ ниже 70% и МНО выше 1.5, тромбоцитопении обязательна коррекция гемостаза (высокий риск интра- и послеоперационной кровопотери). Посевы мочи на микрофлору с определением чувствительности к антибиотикам и возможностью проведения эффективной дооперационной санации верхних мочевых путей. СКТ с 3-D реконструкцией чашечно-лоханочной системы (ЧЛС) для планирования расположения и количества оперативных доступов. Техника проведения и инструменты. Для проведения ЧНЛ используются жесткие и гибкие нефроскопы различного диаметра, чаще 20-26 СН. Для мини ЧНЛ используются инструменты диаметром 18-11 СН (достоверно уменьшается диаметр рабочего канала). Мини ЧНЛ сопряжена с меньшим уровнем осложнений, тем не менее, эффективность данного метода только с целью сохранения почечной паренхимы не подтверждена клиническими исследованиями. В некоторых случаях необходимо проведение двух и более доступов. В этих ситуациях предпочтение отдается мини-нефроскопам, комбинированной технике с использованием гибкого нефроскопа, ретроградно.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Материал и методы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Нами был проведен ретроспективный анализ историй болезни 896 пациентов проходивших лечение с января 2011г. по декабрь 2016г. Всем пациентам была выполнена чрескожная нефролитотрипсия.</w:t>
      </w:r>
      <w:r>
        <w:rPr>
          <w:rFonts w:ascii="Times New Roman" w:hAnsi="Times New Roman"/>
          <w:sz w:val="28"/>
          <w:szCs w:val="28"/>
        </w:rPr>
        <w:t xml:space="preserve"> 861</w:t>
      </w:r>
      <w:r>
        <w:rPr>
          <w:rFonts w:cs="Times New Roman" w:ascii="Times New Roman" w:hAnsi="Times New Roman"/>
          <w:sz w:val="28"/>
          <w:szCs w:val="28"/>
        </w:rPr>
        <w:t xml:space="preserve"> (96,0%) больных были полностью освобождены от камней за 1 этап, у 35 пациентов (3,9%) выполнены дополнительно сеансы ДУВЛ из-за оставшихся фрагментов в почке, 6 пациентам (0,6%) потребовалось выполнить эндоскопическую контактную литотрипсию оставшихся фрагментов, мигрировавших в мочеточник, проведение повторной чрескожной нефролитотрипсии потребовалось 76 (8,5%) больным, они были полностью освобождены от камней за 2-3 этапа. Осложнения: во время проведения операции перфорация лоханки и интраоперационная экстравазация имела место у 11 больных (1,2%), перфорация чашечки и травма почечной паренхимы у 3 больных (0,3%), травма лоханки зондом контактного литотриптера у 7 пациентов (0,8%). Послеоперационные осложнения оценивались по пяти степеням в соответствии с усовершенствованной классификацией Clavien - Dindo. Послеоперационное кровотечение у 6 больных (0,6%)потребовавшее трансфузии крови - Clavien II, пиелонефрит после ПН у  19 (2,1%) - Clavien II, 3 (0,3%) пациентам потребовалось открытое оперативное вмешательство ввиду нарастающей гематомы забрюшинного пространства и продолжающегося кровотечения - Clavien IIIb, 1(0,1%) пациенту выполнена нефрэктомия по поводу профузного кровотечения- Clavien IIIb, 1 (0,1%) пациент бактериемический шок с летальным исходом - Clavien V.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Обсуждение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большинство осложнений связано с неоптимальным выбором и проведением оперативного доступа и неадекватной оценкой степени бактериурии. Тем не менее, частота осложнений при ЧНЛ остается весьма низкой по сравнению с другими методами лечения коралловидного нефролитиаза.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Комплекс профилактических мероприятий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тщательное планирование и прецизионное выполнение доступа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тройной: сонографический +рентген+видео - контроль за всеми этапами вмешательства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правильный выбор способа удаления камня (литотрипсия, литолапаксия, или их сочетание)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предоперационное форсирование диуреза и послеоперационное дренирование верхних мочевых путей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важным звеном является рациональная антибактериальная терапия, направленная на лечение исходно инфицированных больных, а также на создание антибактериального фона непосредственно перед перкутанной нефролитотрипсией и на весь период дренирования почки, у всех пациентов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строгое соблюдение правил асептики и антисептики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в отдельных случаях предварительное дренирование почки нефростомой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Необходимо отметить ряд важнейших моментов: частота осложнений при инструментальных операциях находится в прямой зависимости от специальной подготовки и опыта врача, выполняющего чрескожные вмешательства; степени оснащенности и технического совершенства специального оборудования и инструментария для перкутанной хирургии почек.</w:t>
      </w:r>
    </w:p>
    <w:p>
      <w:pPr>
        <w:pStyle w:val="Normal"/>
        <w:spacing w:lineRule="auto" w:line="360" w:before="0" w:after="0"/>
        <w:jc w:val="both"/>
        <w:rPr>
          <w:bCs/>
        </w:rPr>
      </w:pPr>
      <w:r>
        <w:rPr>
          <w:rFonts w:cs="Times New Roman" w:ascii="Times New Roman" w:hAnsi="Times New Roman"/>
          <w:bCs/>
          <w:sz w:val="28"/>
          <w:szCs w:val="28"/>
        </w:rPr>
        <w:t>Заключение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Анализ литературных и собственных клинических данных показал, что в настоящее время для лечения пациентов с крупными и коралловидными камнями почки наиболее предпочтительным является применение малоинвазивных методик. Наиболее эффективное удаление камней, сохранение функции почек, в сочетании с лучшей безопасностью характерны для чрескожной нефролитолапаксии.</w:t>
      </w:r>
    </w:p>
    <w:p>
      <w:pPr>
        <w:pStyle w:val="Normal"/>
        <w:spacing w:lineRule="auto" w:line="240" w:before="0" w:after="0"/>
        <w:jc w:val="both"/>
        <w:rPr/>
      </w:pPr>
      <w:bookmarkStart w:id="1" w:name="_GoBack"/>
      <w:bookmarkStart w:id="2" w:name="_GoBack"/>
      <w:bookmarkEnd w:id="2"/>
      <w:r>
        <w:rPr/>
      </w:r>
      <w:r>
        <w:br w:type="page"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LTStd-Roman" w:cs="Times New Roman"/>
          <w:b/>
          <w:b/>
          <w:color w:val="231916"/>
          <w:sz w:val="28"/>
          <w:szCs w:val="28"/>
        </w:rPr>
      </w:pPr>
      <w:r>
        <w:rPr>
          <w:rFonts w:eastAsia="TimesLTStd-Roman" w:cs="Times New Roman" w:ascii="Times New Roman" w:hAnsi="Times New Roman"/>
          <w:b/>
          <w:color w:val="231916"/>
          <w:sz w:val="28"/>
          <w:szCs w:val="28"/>
        </w:rPr>
        <w:t>Список литературы: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rStyle w:val="Style14"/>
          <w:i w:val="false"/>
          <w:iCs w:val="false"/>
          <w:sz w:val="28"/>
          <w:szCs w:val="28"/>
        </w:rPr>
        <w:t xml:space="preserve">Меринов Д.С., Павлов Д.А., Фатихов Р.Р., Епишов В.А. </w:t>
      </w:r>
      <w:r>
        <w:rPr>
          <w:sz w:val="28"/>
          <w:szCs w:val="28"/>
        </w:rPr>
        <w:t>На передовых рубежах развития минимально-инвазивной урологии в России. Экспериментальная и клиническая урология 2012; 4: 108-111.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sz w:val="28"/>
          <w:szCs w:val="28"/>
        </w:rPr>
        <w:t>Дзеранов, Н.К. Оперативное лечение коралловидного нефролитиаза /</w:t>
      </w:r>
      <w:hyperlink r:id="rId2">
        <w:r>
          <w:rPr>
            <w:rStyle w:val="Style15"/>
            <w:color w:val="00000A"/>
            <w:sz w:val="28"/>
            <w:szCs w:val="28"/>
            <w:u w:val="none"/>
          </w:rPr>
          <w:t>Н.К. Дзеранов</w:t>
        </w:r>
      </w:hyperlink>
      <w:r>
        <w:rPr>
          <w:sz w:val="28"/>
          <w:szCs w:val="28"/>
        </w:rPr>
        <w:t xml:space="preserve">, </w:t>
      </w:r>
      <w:hyperlink r:id="rId3">
        <w:r>
          <w:rPr>
            <w:rStyle w:val="Style15"/>
            <w:color w:val="00000A"/>
            <w:sz w:val="28"/>
            <w:szCs w:val="28"/>
            <w:u w:val="none"/>
          </w:rPr>
          <w:t>Э.К. Яненко</w:t>
        </w:r>
      </w:hyperlink>
      <w:r>
        <w:rPr>
          <w:sz w:val="28"/>
          <w:szCs w:val="28"/>
        </w:rPr>
        <w:t>.//</w:t>
      </w:r>
      <w:hyperlink r:id="rId4">
        <w:r>
          <w:rPr>
            <w:rStyle w:val="Style15"/>
            <w:color w:val="00000A"/>
            <w:sz w:val="28"/>
            <w:szCs w:val="28"/>
            <w:u w:val="none"/>
          </w:rPr>
          <w:t>Урология</w:t>
        </w:r>
      </w:hyperlink>
      <w:r>
        <w:rPr>
          <w:sz w:val="28"/>
          <w:szCs w:val="28"/>
        </w:rPr>
        <w:t>. -2004. -№ 1. -С.34-38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eastAsia="TimesLTStd-Roman"/>
          <w:sz w:val="28"/>
          <w:szCs w:val="28"/>
          <w:lang w:val="en-US"/>
        </w:rPr>
      </w:pPr>
      <w:r>
        <w:rPr>
          <w:rFonts w:eastAsia="TimesLTStd-Roman"/>
          <w:sz w:val="28"/>
          <w:szCs w:val="28"/>
          <w:lang w:val="en-US"/>
        </w:rPr>
        <w:t>El-Nahas A, Shokeir A, El-Assmy A, et al. Post-percutaneous nephrolithotomy extensive haemorrhage: a study of risk factors. J Urol. 2013; 177: 576-9.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sz w:val="28"/>
          <w:szCs w:val="28"/>
          <w:lang w:val="en-US"/>
        </w:rPr>
        <w:t xml:space="preserve">Ganpule A.P., </w:t>
      </w:r>
      <w:hyperlink r:id="rId5">
        <w:r>
          <w:rPr>
            <w:rStyle w:val="Style15"/>
            <w:color w:val="000000"/>
            <w:sz w:val="28"/>
            <w:szCs w:val="28"/>
            <w:u w:val="none"/>
            <w:lang w:val="en-US"/>
          </w:rPr>
          <w:t>Desai M.</w:t>
        </w:r>
      </w:hyperlink>
      <w:r>
        <w:rPr>
          <w:color w:val="00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Management of staghorn calculus: multiple -tract versus singlt -tract percutaneus. Cur. Opin. Urol. 2008;18(2):220-223.</w:t>
      </w:r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/>
      </w:pPr>
      <w:hyperlink r:id="rId6">
        <w:r>
          <w:rPr>
            <w:rStyle w:val="Style15"/>
            <w:color w:val="00000A"/>
            <w:sz w:val="28"/>
            <w:szCs w:val="28"/>
            <w:u w:val="none"/>
            <w:lang w:val="en-US"/>
          </w:rPr>
          <w:t>Doizi S.</w:t>
        </w:r>
      </w:hyperlink>
      <w:r>
        <w:rPr>
          <w:sz w:val="28"/>
          <w:szCs w:val="28"/>
          <w:lang w:val="en-US"/>
        </w:rPr>
        <w:t xml:space="preserve">, </w:t>
      </w:r>
      <w:hyperlink r:id="rId7">
        <w:r>
          <w:rPr>
            <w:rStyle w:val="Style15"/>
            <w:color w:val="00000A"/>
            <w:sz w:val="28"/>
            <w:szCs w:val="28"/>
            <w:u w:val="none"/>
            <w:lang w:val="en-US"/>
          </w:rPr>
          <w:t>Letendre J.</w:t>
        </w:r>
      </w:hyperlink>
      <w:r>
        <w:rPr>
          <w:sz w:val="28"/>
          <w:szCs w:val="28"/>
          <w:lang w:val="en-US"/>
        </w:rPr>
        <w:t xml:space="preserve">, </w:t>
      </w:r>
      <w:hyperlink r:id="rId8">
        <w:r>
          <w:rPr>
            <w:rStyle w:val="Style15"/>
            <w:color w:val="00000A"/>
            <w:sz w:val="28"/>
            <w:szCs w:val="28"/>
            <w:u w:val="none"/>
            <w:lang w:val="en-US"/>
          </w:rPr>
          <w:t>Bonneau C.</w:t>
        </w:r>
      </w:hyperlink>
      <w:r>
        <w:rPr>
          <w:sz w:val="28"/>
          <w:szCs w:val="28"/>
          <w:lang w:val="en-US"/>
        </w:rPr>
        <w:t xml:space="preserve">, Gil Diez de Medina S., Traxer O. Comparative study of the treatment of renal stones with flexible ureterorenoscopy in normal weight, obese, and morbidly obese patients. </w:t>
      </w:r>
      <w:hyperlink r:id="rId9">
        <w:r>
          <w:rPr>
            <w:rStyle w:val="Style15"/>
            <w:color w:val="00000A"/>
            <w:sz w:val="28"/>
            <w:szCs w:val="28"/>
            <w:u w:val="none"/>
          </w:rPr>
          <w:t>Urology</w:t>
        </w:r>
      </w:hyperlink>
      <w:r>
        <w:rPr>
          <w:sz w:val="28"/>
          <w:szCs w:val="28"/>
        </w:rPr>
        <w:t>. 2015;85(1):38-44.</w:t>
      </w:r>
    </w:p>
    <w:p>
      <w:pPr>
        <w:pStyle w:val="ListParagraph"/>
        <w:spacing w:lineRule="auto" w:line="360"/>
        <w:ind w:left="714" w:hanging="0"/>
        <w:jc w:val="both"/>
        <w:rPr/>
      </w:pPr>
      <w:r>
        <w:rPr/>
      </w:r>
    </w:p>
    <w:sectPr>
      <w:footerReference w:type="default" r:id="rId10"/>
      <w:type w:val="nextPage"/>
      <w:pgSz w:w="11906" w:h="16838"/>
      <w:pgMar w:left="1701" w:right="850" w:header="0" w:top="1134" w:footer="1134" w:bottom="168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rFonts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367c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 w:customStyle="1">
    <w:name w:val="ListLabel 1"/>
    <w:qFormat/>
    <w:rsid w:val="002167d1"/>
    <w:rPr>
      <w:rFonts w:ascii="Times New Roman" w:hAnsi="Times New Roman" w:cs="Times New Roman"/>
      <w:sz w:val="24"/>
    </w:rPr>
  </w:style>
  <w:style w:type="character" w:styleId="ListLabel2" w:customStyle="1">
    <w:name w:val="ListLabel 2"/>
    <w:qFormat/>
    <w:rsid w:val="002167d1"/>
    <w:rPr>
      <w:rFonts w:cs="Times New Roman"/>
    </w:rPr>
  </w:style>
  <w:style w:type="character" w:styleId="ListLabel3" w:customStyle="1">
    <w:name w:val="ListLabel 3"/>
    <w:qFormat/>
    <w:rsid w:val="002167d1"/>
    <w:rPr>
      <w:rFonts w:cs="Times New Roman"/>
    </w:rPr>
  </w:style>
  <w:style w:type="character" w:styleId="ListLabel4" w:customStyle="1">
    <w:name w:val="ListLabel 4"/>
    <w:qFormat/>
    <w:rsid w:val="002167d1"/>
    <w:rPr>
      <w:rFonts w:cs="Times New Roman"/>
    </w:rPr>
  </w:style>
  <w:style w:type="character" w:styleId="ListLabel5" w:customStyle="1">
    <w:name w:val="ListLabel 5"/>
    <w:qFormat/>
    <w:rsid w:val="002167d1"/>
    <w:rPr>
      <w:rFonts w:cs="Times New Roman"/>
    </w:rPr>
  </w:style>
  <w:style w:type="character" w:styleId="ListLabel6" w:customStyle="1">
    <w:name w:val="ListLabel 6"/>
    <w:qFormat/>
    <w:rsid w:val="002167d1"/>
    <w:rPr>
      <w:rFonts w:cs="Times New Roman"/>
    </w:rPr>
  </w:style>
  <w:style w:type="character" w:styleId="ListLabel7" w:customStyle="1">
    <w:name w:val="ListLabel 7"/>
    <w:qFormat/>
    <w:rsid w:val="002167d1"/>
    <w:rPr>
      <w:rFonts w:cs="Times New Roman"/>
    </w:rPr>
  </w:style>
  <w:style w:type="character" w:styleId="ListLabel8" w:customStyle="1">
    <w:name w:val="ListLabel 8"/>
    <w:qFormat/>
    <w:rsid w:val="002167d1"/>
    <w:rPr>
      <w:rFonts w:cs="Times New Roman"/>
    </w:rPr>
  </w:style>
  <w:style w:type="character" w:styleId="ListLabel9" w:customStyle="1">
    <w:name w:val="ListLabel 9"/>
    <w:qFormat/>
    <w:rsid w:val="002167d1"/>
    <w:rPr>
      <w:rFonts w:cs="Times New Roman"/>
    </w:rPr>
  </w:style>
  <w:style w:type="character" w:styleId="ListLabel10" w:customStyle="1">
    <w:name w:val="ListLabel 10"/>
    <w:qFormat/>
    <w:rsid w:val="002167d1"/>
    <w:rPr>
      <w:rFonts w:ascii="Times New Roman" w:hAnsi="Times New Roman" w:cs="Times New Roman"/>
      <w:sz w:val="24"/>
    </w:rPr>
  </w:style>
  <w:style w:type="character" w:styleId="ListLabel11" w:customStyle="1">
    <w:name w:val="ListLabel 11"/>
    <w:qFormat/>
    <w:rsid w:val="002167d1"/>
    <w:rPr>
      <w:rFonts w:cs="Times New Roman"/>
    </w:rPr>
  </w:style>
  <w:style w:type="character" w:styleId="ListLabel12" w:customStyle="1">
    <w:name w:val="ListLabel 12"/>
    <w:qFormat/>
    <w:rsid w:val="002167d1"/>
    <w:rPr>
      <w:rFonts w:cs="Times New Roman"/>
    </w:rPr>
  </w:style>
  <w:style w:type="character" w:styleId="ListLabel13" w:customStyle="1">
    <w:name w:val="ListLabel 13"/>
    <w:qFormat/>
    <w:rsid w:val="002167d1"/>
    <w:rPr>
      <w:rFonts w:cs="Times New Roman"/>
    </w:rPr>
  </w:style>
  <w:style w:type="character" w:styleId="ListLabel14" w:customStyle="1">
    <w:name w:val="ListLabel 14"/>
    <w:qFormat/>
    <w:rsid w:val="002167d1"/>
    <w:rPr>
      <w:rFonts w:cs="Times New Roman"/>
    </w:rPr>
  </w:style>
  <w:style w:type="character" w:styleId="ListLabel15" w:customStyle="1">
    <w:name w:val="ListLabel 15"/>
    <w:qFormat/>
    <w:rsid w:val="002167d1"/>
    <w:rPr>
      <w:rFonts w:cs="Times New Roman"/>
    </w:rPr>
  </w:style>
  <w:style w:type="character" w:styleId="ListLabel16" w:customStyle="1">
    <w:name w:val="ListLabel 16"/>
    <w:qFormat/>
    <w:rsid w:val="002167d1"/>
    <w:rPr>
      <w:rFonts w:cs="Times New Roman"/>
    </w:rPr>
  </w:style>
  <w:style w:type="character" w:styleId="ListLabel17" w:customStyle="1">
    <w:name w:val="ListLabel 17"/>
    <w:qFormat/>
    <w:rsid w:val="002167d1"/>
    <w:rPr>
      <w:rFonts w:cs="Times New Roman"/>
    </w:rPr>
  </w:style>
  <w:style w:type="character" w:styleId="ListLabel18" w:customStyle="1">
    <w:name w:val="ListLabel 18"/>
    <w:qFormat/>
    <w:rsid w:val="002167d1"/>
    <w:rPr>
      <w:rFonts w:cs="Times New Roman"/>
    </w:rPr>
  </w:style>
  <w:style w:type="character" w:styleId="Style14">
    <w:name w:val="Выделение"/>
    <w:basedOn w:val="DefaultParagraphFont"/>
    <w:qFormat/>
    <w:rsid w:val="00f30628"/>
    <w:rPr>
      <w:i/>
      <w:iCs/>
    </w:rPr>
  </w:style>
  <w:style w:type="character" w:styleId="Style15" w:customStyle="1">
    <w:name w:val="Интернет-ссылка"/>
    <w:basedOn w:val="DefaultParagraphFont"/>
    <w:uiPriority w:val="99"/>
    <w:unhideWhenUsed/>
    <w:rsid w:val="00f3062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f30628"/>
    <w:rPr/>
  </w:style>
  <w:style w:type="character" w:styleId="ListLabel19" w:customStyle="1">
    <w:name w:val="ListLabel 19"/>
    <w:qFormat/>
    <w:rPr>
      <w:rFonts w:ascii="Times New Roman" w:hAnsi="Times New Roman" w:cs="Times New Roman"/>
      <w:sz w:val="24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2167d1"/>
    <w:pPr>
      <w:spacing w:lineRule="auto" w:line="288" w:before="0" w:after="140"/>
    </w:pPr>
    <w:rPr/>
  </w:style>
  <w:style w:type="paragraph" w:styleId="Style18">
    <w:name w:val="List"/>
    <w:basedOn w:val="Style17"/>
    <w:rsid w:val="002167d1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rsid w:val="002167d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 w:customStyle="1">
    <w:name w:val="Название объекта1"/>
    <w:basedOn w:val="Normal"/>
    <w:qFormat/>
    <w:rsid w:val="002167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2167d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62c0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Нижний колонтитул1"/>
    <w:basedOn w:val="Normal"/>
    <w:qFormat/>
    <w:rsid w:val="002167d1"/>
    <w:pPr/>
    <w:rPr/>
  </w:style>
  <w:style w:type="paragraph" w:styleId="Style21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library.ru/author_items.asp?refid=276672543&amp;fam=&#1044;&#1079;&#1077;&#1088;&#1072;&#1085;&#1086;&#1074;&amp;init=&#1053;+&#1050;" TargetMode="External"/><Relationship Id="rId3" Type="http://schemas.openxmlformats.org/officeDocument/2006/relationships/hyperlink" Target="http://elibrary.ru/author_items.asp?refid=276672543&amp;fam=&#1071;&#1085;&#1077;&#1085;&#1082;&#1086;&amp;init=&#1069;+&#1050;" TargetMode="External"/><Relationship Id="rId4" Type="http://schemas.openxmlformats.org/officeDocument/2006/relationships/hyperlink" Target="http://elibrary.ru/contents.asp?titleid=7751" TargetMode="External"/><Relationship Id="rId5" Type="http://schemas.openxmlformats.org/officeDocument/2006/relationships/hyperlink" Target="http://elibrary.ru/author_items.asp?refid=261016324&amp;fam=Desai&amp;init=M" TargetMode="External"/><Relationship Id="rId6" Type="http://schemas.openxmlformats.org/officeDocument/2006/relationships/hyperlink" Target="http://elibrary.ru/author_items.asp?refid=334814325&amp;fam=Doizi&amp;init=S" TargetMode="External"/><Relationship Id="rId7" Type="http://schemas.openxmlformats.org/officeDocument/2006/relationships/hyperlink" Target="http://elibrary.ru/author_items.asp?refid=334814325&amp;fam=Letendre&amp;init=J" TargetMode="External"/><Relationship Id="rId8" Type="http://schemas.openxmlformats.org/officeDocument/2006/relationships/hyperlink" Target="http://elibrary.ru/author_items.asp?refid=334814325&amp;fam=Bonneau&amp;init=C" TargetMode="External"/><Relationship Id="rId9" Type="http://schemas.openxmlformats.org/officeDocument/2006/relationships/hyperlink" Target="http://elibrary.ru/contents.asp?titleid=10825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LibreOffice/5.2.3.3$Windows_x86 LibreOffice_project/d54a8868f08a7b39642414cf2c8ef2f228f780cf</Application>
  <Pages>6</Pages>
  <Words>1111</Words>
  <Characters>8012</Characters>
  <CharactersWithSpaces>9081</CharactersWithSpaces>
  <Paragraphs>41</Paragraphs>
  <Company>Функциональность ограничена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2017-02-15T18:17:00Z</dcterms:created>
  <dc:creator>Бурцев</dc:creator>
  <dc:description/>
  <dc:language>ru-RU</dc:language>
  <cp:lastModifiedBy/>
  <cp:lastPrinted>2017-02-16T10:46:37Z</cp:lastPrinted>
  <dcterms:modified xsi:type="dcterms:W3CDTF">2017-02-16T10:49:39Z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Функциональность ограничена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