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C1" w:rsidRPr="00DA3789" w:rsidRDefault="00CC3CC1" w:rsidP="00DA3789">
      <w:pPr>
        <w:spacing w:line="480" w:lineRule="auto"/>
      </w:pPr>
      <w:r w:rsidRPr="00DA3789">
        <w:t xml:space="preserve">Чибисов А. А., Овчинников А. А., </w:t>
      </w:r>
      <w:proofErr w:type="spellStart"/>
      <w:r w:rsidRPr="00DA3789">
        <w:t>Салиндер</w:t>
      </w:r>
      <w:proofErr w:type="spellEnd"/>
      <w:r w:rsidRPr="00DA3789">
        <w:t xml:space="preserve"> С. Н., </w:t>
      </w:r>
      <w:proofErr w:type="spellStart"/>
      <w:r w:rsidRPr="00DA3789">
        <w:t>Антоненко</w:t>
      </w:r>
      <w:proofErr w:type="spellEnd"/>
      <w:r w:rsidRPr="00DA3789">
        <w:t xml:space="preserve"> И. В.</w:t>
      </w:r>
    </w:p>
    <w:p w:rsidR="00CC3CC1" w:rsidRPr="00DA3789" w:rsidRDefault="00CC3CC1" w:rsidP="00DA3789">
      <w:pPr>
        <w:spacing w:line="480" w:lineRule="auto"/>
        <w:rPr>
          <w:b/>
        </w:rPr>
      </w:pPr>
      <w:r w:rsidRPr="00DA3789">
        <w:rPr>
          <w:b/>
        </w:rPr>
        <w:t>Состояние урологической помощи в Ямало-Ненецком автономном округе</w:t>
      </w:r>
      <w:r w:rsidR="00DA3789" w:rsidRPr="00DA3789">
        <w:rPr>
          <w:b/>
        </w:rPr>
        <w:t>.</w:t>
      </w:r>
      <w:r w:rsidRPr="00DA3789">
        <w:rPr>
          <w:b/>
        </w:rPr>
        <w:t xml:space="preserve"> </w:t>
      </w:r>
    </w:p>
    <w:p w:rsidR="00CC3CC1" w:rsidRPr="00DA3789" w:rsidRDefault="00CC3CC1" w:rsidP="00DA3789">
      <w:pPr>
        <w:spacing w:line="480" w:lineRule="auto"/>
        <w:rPr>
          <w:b/>
        </w:rPr>
      </w:pPr>
      <w:r w:rsidRPr="00DA3789">
        <w:rPr>
          <w:b/>
        </w:rPr>
        <w:t>Хирургическое отделение ГБУЗ «</w:t>
      </w:r>
      <w:proofErr w:type="spellStart"/>
      <w:r w:rsidRPr="00DA3789">
        <w:rPr>
          <w:b/>
        </w:rPr>
        <w:t>Салехардская</w:t>
      </w:r>
      <w:proofErr w:type="spellEnd"/>
      <w:r w:rsidRPr="00DA3789">
        <w:rPr>
          <w:b/>
        </w:rPr>
        <w:t xml:space="preserve"> окружная клиническая больница» ЯНАО, г. Салехард, ул. Мира, 39</w:t>
      </w:r>
    </w:p>
    <w:p w:rsidR="00CC3CC1" w:rsidRPr="00DA3789" w:rsidRDefault="00CC3CC1" w:rsidP="00DA3789">
      <w:pPr>
        <w:spacing w:line="480" w:lineRule="auto"/>
      </w:pPr>
      <w:proofErr w:type="spellStart"/>
      <w:r w:rsidRPr="00DA3789">
        <w:rPr>
          <w:lang w:val="en-US"/>
        </w:rPr>
        <w:t>Chibisov</w:t>
      </w:r>
      <w:proofErr w:type="spellEnd"/>
      <w:r w:rsidRPr="00DA3789">
        <w:t xml:space="preserve"> А.А., О</w:t>
      </w:r>
      <w:proofErr w:type="spellStart"/>
      <w:r w:rsidRPr="00DA3789">
        <w:rPr>
          <w:lang w:val="en-US"/>
        </w:rPr>
        <w:t>vchinnikov</w:t>
      </w:r>
      <w:proofErr w:type="spellEnd"/>
      <w:r w:rsidRPr="00DA3789">
        <w:t xml:space="preserve"> А.А., </w:t>
      </w:r>
      <w:proofErr w:type="spellStart"/>
      <w:r w:rsidRPr="00DA3789">
        <w:rPr>
          <w:lang w:val="en-US"/>
        </w:rPr>
        <w:t>Salinder</w:t>
      </w:r>
      <w:proofErr w:type="spellEnd"/>
      <w:r w:rsidRPr="00DA3789">
        <w:t xml:space="preserve"> </w:t>
      </w:r>
      <w:r w:rsidRPr="00DA3789">
        <w:rPr>
          <w:lang w:val="en-US"/>
        </w:rPr>
        <w:t>S</w:t>
      </w:r>
      <w:r w:rsidRPr="00DA3789">
        <w:t>.</w:t>
      </w:r>
      <w:r w:rsidRPr="00DA3789">
        <w:rPr>
          <w:lang w:val="en-US"/>
        </w:rPr>
        <w:t>N</w:t>
      </w:r>
      <w:r w:rsidRPr="00DA3789">
        <w:t>., А</w:t>
      </w:r>
      <w:proofErr w:type="spellStart"/>
      <w:r w:rsidRPr="00DA3789">
        <w:rPr>
          <w:lang w:val="en-US"/>
        </w:rPr>
        <w:t>ntonenko</w:t>
      </w:r>
      <w:proofErr w:type="spellEnd"/>
      <w:r w:rsidRPr="00DA3789">
        <w:t xml:space="preserve"> </w:t>
      </w:r>
      <w:r w:rsidRPr="00DA3789">
        <w:rPr>
          <w:lang w:val="en-US"/>
        </w:rPr>
        <w:t>I</w:t>
      </w:r>
      <w:r w:rsidRPr="00DA3789">
        <w:t>.</w:t>
      </w:r>
      <w:r w:rsidRPr="00DA3789">
        <w:rPr>
          <w:lang w:val="en-US"/>
        </w:rPr>
        <w:t>V</w:t>
      </w:r>
      <w:r w:rsidRPr="00DA3789">
        <w:t xml:space="preserve">. </w:t>
      </w:r>
    </w:p>
    <w:p w:rsidR="00CC3CC1" w:rsidRPr="00DA3789" w:rsidRDefault="00CC3CC1" w:rsidP="00DA3789">
      <w:pPr>
        <w:spacing w:line="480" w:lineRule="auto"/>
        <w:rPr>
          <w:b/>
          <w:lang w:val="en-US"/>
        </w:rPr>
      </w:pPr>
      <w:r w:rsidRPr="00DA3789">
        <w:rPr>
          <w:b/>
          <w:lang w:val="en-US"/>
        </w:rPr>
        <w:t xml:space="preserve">Urological care in the </w:t>
      </w:r>
      <w:proofErr w:type="spellStart"/>
      <w:r w:rsidRPr="00DA3789">
        <w:rPr>
          <w:b/>
          <w:lang w:val="en-US"/>
        </w:rPr>
        <w:t>Yamalo-Nenets</w:t>
      </w:r>
      <w:proofErr w:type="spellEnd"/>
      <w:r w:rsidRPr="00DA3789">
        <w:rPr>
          <w:b/>
          <w:lang w:val="en-US"/>
        </w:rPr>
        <w:t xml:space="preserve"> Autonomous </w:t>
      </w:r>
      <w:proofErr w:type="spellStart"/>
      <w:r w:rsidRPr="00DA3789">
        <w:rPr>
          <w:b/>
          <w:lang w:val="en-US"/>
        </w:rPr>
        <w:t>Okrug</w:t>
      </w:r>
      <w:proofErr w:type="spellEnd"/>
      <w:r w:rsidR="00DA3789" w:rsidRPr="00DA3789">
        <w:rPr>
          <w:b/>
          <w:lang w:val="en-US"/>
        </w:rPr>
        <w:t>.</w:t>
      </w:r>
    </w:p>
    <w:p w:rsidR="00DA3789" w:rsidRPr="00DA3789" w:rsidRDefault="00DA3789" w:rsidP="00DA3789">
      <w:pPr>
        <w:spacing w:line="480" w:lineRule="auto"/>
        <w:rPr>
          <w:b/>
        </w:rPr>
      </w:pPr>
      <w:r w:rsidRPr="00DA3789">
        <w:rPr>
          <w:b/>
          <w:lang/>
        </w:rPr>
        <w:t>Surgical Department of Health of the State budget institution "</w:t>
      </w:r>
      <w:proofErr w:type="spellStart"/>
      <w:r w:rsidRPr="00DA3789">
        <w:rPr>
          <w:b/>
          <w:lang/>
        </w:rPr>
        <w:t>Salekhard</w:t>
      </w:r>
      <w:proofErr w:type="spellEnd"/>
      <w:r w:rsidRPr="00DA3789">
        <w:rPr>
          <w:b/>
          <w:lang/>
        </w:rPr>
        <w:t xml:space="preserve"> district Hospital" </w:t>
      </w:r>
      <w:proofErr w:type="spellStart"/>
      <w:r w:rsidRPr="00DA3789">
        <w:rPr>
          <w:b/>
          <w:lang/>
        </w:rPr>
        <w:t>Yamalo-Nenets</w:t>
      </w:r>
      <w:proofErr w:type="spellEnd"/>
      <w:r w:rsidRPr="00DA3789">
        <w:rPr>
          <w:b/>
          <w:lang/>
        </w:rPr>
        <w:t xml:space="preserve"> Autonomous Area, </w:t>
      </w:r>
      <w:proofErr w:type="spellStart"/>
      <w:r w:rsidRPr="00DA3789">
        <w:rPr>
          <w:b/>
          <w:lang/>
        </w:rPr>
        <w:t>Salekhard</w:t>
      </w:r>
      <w:proofErr w:type="spellEnd"/>
      <w:r w:rsidRPr="00DA3789">
        <w:rPr>
          <w:b/>
          <w:lang/>
        </w:rPr>
        <w:t>, Mira Street 39</w:t>
      </w:r>
    </w:p>
    <w:p w:rsidR="00CC3CC1" w:rsidRPr="00DA3789" w:rsidRDefault="00CC3CC1" w:rsidP="00DA3789">
      <w:pPr>
        <w:spacing w:line="480" w:lineRule="auto"/>
        <w:rPr>
          <w:b/>
          <w:lang w:val="en-US"/>
        </w:rPr>
      </w:pPr>
      <w:r w:rsidRPr="00DA3789">
        <w:rPr>
          <w:b/>
        </w:rPr>
        <w:t>Резюме</w:t>
      </w:r>
    </w:p>
    <w:p w:rsidR="00CC3CC1" w:rsidRPr="00DA3789" w:rsidRDefault="00CC3CC1" w:rsidP="00DA3789">
      <w:pPr>
        <w:spacing w:line="480" w:lineRule="auto"/>
      </w:pPr>
      <w:r w:rsidRPr="00DA3789">
        <w:t xml:space="preserve">В статье представлена общая характеристика урологической службы ЯНАО. Отдельно отмечены основные урологические стационары.  Приведены данные по структуре оказываемой помощи, в том числе объём выполняемых оперативных вмешательств. Также отмечены некоторые проблемы урологической службы округа. </w:t>
      </w:r>
    </w:p>
    <w:p w:rsidR="00CC3CC1" w:rsidRPr="00DA3789" w:rsidRDefault="00CC3CC1" w:rsidP="00DA3789">
      <w:pPr>
        <w:spacing w:line="480" w:lineRule="auto"/>
      </w:pPr>
      <w:r w:rsidRPr="00DA3789">
        <w:rPr>
          <w:b/>
        </w:rPr>
        <w:t>Ключевые слова:</w:t>
      </w:r>
      <w:r w:rsidRPr="00DA3789">
        <w:t xml:space="preserve"> урологическая помощь, оснащенность, Ямало-ненецкий автономный округ.</w:t>
      </w:r>
    </w:p>
    <w:p w:rsidR="00CC3CC1" w:rsidRPr="00DA3789" w:rsidRDefault="00CC3CC1" w:rsidP="00DA3789">
      <w:pPr>
        <w:spacing w:line="480" w:lineRule="auto"/>
        <w:rPr>
          <w:b/>
          <w:lang w:val="en-US"/>
        </w:rPr>
      </w:pPr>
      <w:r w:rsidRPr="00DA3789">
        <w:rPr>
          <w:b/>
          <w:lang w:val="en-US"/>
        </w:rPr>
        <w:t>Summary</w:t>
      </w:r>
    </w:p>
    <w:p w:rsidR="00CC3CC1" w:rsidRPr="00DA3789" w:rsidRDefault="00CC3CC1" w:rsidP="00DA3789">
      <w:pPr>
        <w:spacing w:line="480" w:lineRule="auto"/>
        <w:rPr>
          <w:lang w:val="en-US"/>
        </w:rPr>
      </w:pPr>
      <w:r w:rsidRPr="00DA3789">
        <w:rPr>
          <w:lang w:val="en-US"/>
        </w:rPr>
        <w:t xml:space="preserve">The article presents a general characteristic of urological service YNAO. The main urological departments are individually marked in the article. It provides data characterizing the structure of urologic care, including the volume of surgical procedures. Some problems regional urological </w:t>
      </w:r>
      <w:proofErr w:type="gramStart"/>
      <w:r w:rsidRPr="00DA3789">
        <w:rPr>
          <w:lang w:val="en-US"/>
        </w:rPr>
        <w:t>service are</w:t>
      </w:r>
      <w:proofErr w:type="gramEnd"/>
      <w:r w:rsidRPr="00DA3789">
        <w:rPr>
          <w:lang w:val="en-US"/>
        </w:rPr>
        <w:t xml:space="preserve"> also mentioned.</w:t>
      </w:r>
    </w:p>
    <w:p w:rsidR="00CC3CC1" w:rsidRDefault="00CC3CC1" w:rsidP="00DA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22222"/>
        </w:rPr>
      </w:pPr>
      <w:r w:rsidRPr="00DA3789">
        <w:rPr>
          <w:b/>
          <w:color w:val="222222"/>
          <w:lang w:val="en-US"/>
        </w:rPr>
        <w:t>Key words:</w:t>
      </w:r>
      <w:r w:rsidRPr="00DA3789">
        <w:rPr>
          <w:color w:val="222222"/>
          <w:lang w:val="en-US"/>
        </w:rPr>
        <w:t xml:space="preserve"> urological care, equipment, </w:t>
      </w:r>
      <w:proofErr w:type="spellStart"/>
      <w:r w:rsidRPr="00DA3789">
        <w:rPr>
          <w:color w:val="222222"/>
          <w:lang w:val="en-US"/>
        </w:rPr>
        <w:t>Yamalo-Nenets</w:t>
      </w:r>
      <w:proofErr w:type="spellEnd"/>
      <w:r w:rsidRPr="00DA3789">
        <w:rPr>
          <w:color w:val="222222"/>
          <w:lang w:val="en-US"/>
        </w:rPr>
        <w:t xml:space="preserve"> Autonomous District.</w:t>
      </w:r>
    </w:p>
    <w:p w:rsidR="00DA3789" w:rsidRPr="00DA3789" w:rsidRDefault="00DA3789" w:rsidP="00DA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22222"/>
        </w:rPr>
      </w:pPr>
      <w:r w:rsidRPr="00DA3789">
        <w:rPr>
          <w:b/>
          <w:color w:val="222222"/>
        </w:rPr>
        <w:t>Введение</w:t>
      </w:r>
    </w:p>
    <w:p w:rsidR="00796E61" w:rsidRPr="00DA3789" w:rsidRDefault="00796E61" w:rsidP="00DA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22222"/>
        </w:rPr>
      </w:pPr>
      <w:r w:rsidRPr="00DA3789">
        <w:t xml:space="preserve">ЯНАО отличается большой площадью территории - более 750 тысяч квадратных километров, малым количеством населённых пунктов и наличием кочующего населения. В составе автономного округа 13  муниципальных образований, в том числе </w:t>
      </w:r>
      <w:r w:rsidRPr="00DA3789">
        <w:lastRenderedPageBreak/>
        <w:t xml:space="preserve">8 городов  и 6 районов. </w:t>
      </w:r>
      <w:r w:rsidRPr="00DA3789">
        <w:rPr>
          <w:bCs/>
        </w:rPr>
        <w:t>Население ЯНАО</w:t>
      </w:r>
      <w:r w:rsidR="00522798" w:rsidRPr="00DA3789">
        <w:rPr>
          <w:bCs/>
        </w:rPr>
        <w:t xml:space="preserve"> </w:t>
      </w:r>
      <w:r w:rsidRPr="00DA3789">
        <w:rPr>
          <w:bCs/>
        </w:rPr>
        <w:t>– 534,1 тыс. (446,9 тыс. – городское, 87,2 тыс. – сельское).</w:t>
      </w:r>
    </w:p>
    <w:p w:rsidR="001538F4" w:rsidRPr="00DA3789" w:rsidRDefault="001538F4" w:rsidP="00DA3789">
      <w:pPr>
        <w:spacing w:line="480" w:lineRule="auto"/>
      </w:pPr>
      <w:r w:rsidRPr="00DA3789">
        <w:t>В условиях проживания в ЯНАО имеют место следующие неблагоприятные факторы, способствующие развитию и усугублению урологических заболеваний:</w:t>
      </w:r>
    </w:p>
    <w:p w:rsidR="001538F4" w:rsidRPr="00DA3789" w:rsidRDefault="001538F4" w:rsidP="00DA3789">
      <w:pPr>
        <w:numPr>
          <w:ilvl w:val="0"/>
          <w:numId w:val="1"/>
        </w:numPr>
        <w:spacing w:line="480" w:lineRule="auto"/>
        <w:ind w:left="567" w:hanging="283"/>
      </w:pPr>
      <w:r w:rsidRPr="00DA3789">
        <w:t>Используемая питьевая вода, имеет более высокие показатели жесткости</w:t>
      </w:r>
    </w:p>
    <w:p w:rsidR="001538F4" w:rsidRPr="00DA3789" w:rsidRDefault="001538F4" w:rsidP="00DA3789">
      <w:pPr>
        <w:numPr>
          <w:ilvl w:val="0"/>
          <w:numId w:val="1"/>
        </w:numPr>
        <w:spacing w:line="480" w:lineRule="auto"/>
        <w:ind w:left="567" w:hanging="283"/>
      </w:pPr>
      <w:proofErr w:type="gramStart"/>
      <w:r w:rsidRPr="00DA3789">
        <w:t>Относительные</w:t>
      </w:r>
      <w:proofErr w:type="gramEnd"/>
      <w:r w:rsidRPr="00DA3789">
        <w:t xml:space="preserve"> авитаминоз и гиповитаминоз</w:t>
      </w:r>
    </w:p>
    <w:p w:rsidR="001538F4" w:rsidRPr="00DA3789" w:rsidRDefault="001538F4" w:rsidP="00DA3789">
      <w:pPr>
        <w:numPr>
          <w:ilvl w:val="0"/>
          <w:numId w:val="1"/>
        </w:numPr>
        <w:spacing w:line="480" w:lineRule="auto"/>
        <w:ind w:left="567" w:hanging="283"/>
      </w:pPr>
      <w:r w:rsidRPr="00DA3789">
        <w:t>Относительная недостаточность в питании свежих овощей, фруктов, зелени</w:t>
      </w:r>
    </w:p>
    <w:p w:rsidR="001538F4" w:rsidRPr="00DA3789" w:rsidRDefault="001538F4" w:rsidP="00DA3789">
      <w:pPr>
        <w:numPr>
          <w:ilvl w:val="0"/>
          <w:numId w:val="1"/>
        </w:numPr>
        <w:spacing w:line="480" w:lineRule="auto"/>
        <w:ind w:left="567" w:hanging="283"/>
      </w:pPr>
      <w:r w:rsidRPr="00DA3789">
        <w:t>Большая удаленность кочевого населения и некоторых населенных пунктов от специализированных ЛПУ ЯНАО</w:t>
      </w:r>
      <w:r w:rsidR="00425BEB" w:rsidRPr="00DA3789">
        <w:t xml:space="preserve"> и</w:t>
      </w:r>
      <w:r w:rsidRPr="00DA3789">
        <w:t xml:space="preserve"> </w:t>
      </w:r>
      <w:r w:rsidR="00425BEB" w:rsidRPr="00DA3789">
        <w:t xml:space="preserve">поэтому </w:t>
      </w:r>
      <w:r w:rsidRPr="00DA3789">
        <w:t xml:space="preserve">недостаточный охват населения своевременным и качественным диспансерным наблюдением. </w:t>
      </w:r>
    </w:p>
    <w:p w:rsidR="001538F4" w:rsidRPr="00DA3789" w:rsidRDefault="001538F4" w:rsidP="00DA3789">
      <w:pPr>
        <w:numPr>
          <w:ilvl w:val="0"/>
          <w:numId w:val="1"/>
        </w:numPr>
        <w:spacing w:line="480" w:lineRule="auto"/>
        <w:ind w:left="567" w:hanging="283"/>
      </w:pPr>
      <w:r w:rsidRPr="00DA3789">
        <w:t xml:space="preserve">Больное количество дней в году с малым световым временем суток. </w:t>
      </w:r>
    </w:p>
    <w:p w:rsidR="001538F4" w:rsidRPr="00DA3789" w:rsidRDefault="001538F4" w:rsidP="00DA3789">
      <w:pPr>
        <w:numPr>
          <w:ilvl w:val="0"/>
          <w:numId w:val="1"/>
        </w:numPr>
        <w:spacing w:line="480" w:lineRule="auto"/>
        <w:ind w:left="567" w:hanging="283"/>
        <w:jc w:val="both"/>
      </w:pPr>
      <w:r w:rsidRPr="00DA3789">
        <w:t>Резкие перепады температуры воздуха и атмосферного давления даже в течение суток.</w:t>
      </w:r>
    </w:p>
    <w:p w:rsidR="001538F4" w:rsidRPr="00DA3789" w:rsidRDefault="001538F4" w:rsidP="00DA3789">
      <w:pPr>
        <w:numPr>
          <w:ilvl w:val="0"/>
          <w:numId w:val="1"/>
        </w:numPr>
        <w:spacing w:line="480" w:lineRule="auto"/>
        <w:ind w:left="567" w:hanging="283"/>
        <w:jc w:val="both"/>
      </w:pPr>
      <w:r w:rsidRPr="00DA3789">
        <w:t>Короткое лето и продолжительная полярная зима.</w:t>
      </w:r>
    </w:p>
    <w:p w:rsidR="001538F4" w:rsidRPr="00DA3789" w:rsidRDefault="001538F4" w:rsidP="00DA3789">
      <w:pPr>
        <w:numPr>
          <w:ilvl w:val="0"/>
          <w:numId w:val="1"/>
        </w:numPr>
        <w:spacing w:line="480" w:lineRule="auto"/>
        <w:ind w:left="567" w:hanging="283"/>
        <w:jc w:val="both"/>
      </w:pPr>
      <w:r w:rsidRPr="00DA3789">
        <w:t>Шквальные, холодные ветра.</w:t>
      </w:r>
    </w:p>
    <w:p w:rsidR="001538F4" w:rsidRPr="00DA3789" w:rsidRDefault="004D25F2" w:rsidP="00DA3789">
      <w:pPr>
        <w:spacing w:line="480" w:lineRule="auto"/>
        <w:jc w:val="both"/>
      </w:pPr>
      <w:r w:rsidRPr="00DA3789">
        <w:rPr>
          <w:rFonts w:eastAsia="Calibri"/>
          <w:lang w:eastAsia="en-US"/>
        </w:rPr>
        <w:t xml:space="preserve">Урологическая помощь в </w:t>
      </w:r>
      <w:proofErr w:type="gramStart"/>
      <w:r w:rsidRPr="00DA3789">
        <w:rPr>
          <w:rFonts w:eastAsia="Calibri"/>
          <w:lang w:eastAsia="en-US"/>
        </w:rPr>
        <w:t>городах</w:t>
      </w:r>
      <w:proofErr w:type="gramEnd"/>
      <w:r w:rsidRPr="00DA3789">
        <w:rPr>
          <w:rFonts w:eastAsia="Calibri"/>
          <w:lang w:eastAsia="en-US"/>
        </w:rPr>
        <w:t xml:space="preserve"> округа оказывается 18 урологами на базе урологического отделения Ноябрьской ЦГБ, а также на базах хирургических отделений ЛПУ ЯНАО. Из 18 специалистов все 18 имеют сертификаты специалиста</w:t>
      </w:r>
      <w:r w:rsidR="005C7DF0" w:rsidRPr="00DA3789">
        <w:rPr>
          <w:rFonts w:eastAsia="Calibri"/>
          <w:lang w:eastAsia="en-US"/>
        </w:rPr>
        <w:t xml:space="preserve"> (</w:t>
      </w:r>
      <w:r w:rsidRPr="00DA3789">
        <w:rPr>
          <w:rFonts w:eastAsia="Calibri"/>
          <w:lang w:eastAsia="en-US"/>
        </w:rPr>
        <w:t>100%</w:t>
      </w:r>
      <w:r w:rsidR="005C7DF0" w:rsidRPr="00DA3789">
        <w:rPr>
          <w:rFonts w:eastAsia="Calibri"/>
          <w:lang w:eastAsia="en-US"/>
        </w:rPr>
        <w:t>)</w:t>
      </w:r>
      <w:r w:rsidRPr="00DA3789">
        <w:rPr>
          <w:rFonts w:eastAsia="Calibri"/>
          <w:lang w:eastAsia="en-US"/>
        </w:rPr>
        <w:t>. В ЛПУ ЯНАО имеет</w:t>
      </w:r>
      <w:r w:rsidR="005C7DF0" w:rsidRPr="00DA3789">
        <w:rPr>
          <w:rFonts w:eastAsia="Calibri"/>
          <w:lang w:eastAsia="en-US"/>
        </w:rPr>
        <w:t xml:space="preserve">ся </w:t>
      </w:r>
      <w:r w:rsidRPr="00DA3789">
        <w:rPr>
          <w:rFonts w:eastAsia="Calibri"/>
          <w:lang w:eastAsia="en-US"/>
        </w:rPr>
        <w:t>25,75 штатные должности урологов (и 4,75 ставок детских урологов), из которых 22,25 заняты (занято 4,5 ставки детских урологов). Укомплектованность составляет 86,4%. Из этого числа 14,25 ставки поликлинических урологов</w:t>
      </w:r>
      <w:r w:rsidR="00AC1291" w:rsidRPr="00DA3789">
        <w:rPr>
          <w:rFonts w:eastAsia="Calibri"/>
          <w:lang w:eastAsia="en-US"/>
        </w:rPr>
        <w:t xml:space="preserve"> (</w:t>
      </w:r>
      <w:r w:rsidRPr="00DA3789">
        <w:rPr>
          <w:rFonts w:eastAsia="Calibri"/>
          <w:lang w:eastAsia="en-US"/>
        </w:rPr>
        <w:t>11,75</w:t>
      </w:r>
      <w:r w:rsidR="00AC1291" w:rsidRPr="00DA3789">
        <w:rPr>
          <w:rFonts w:eastAsia="Calibri"/>
          <w:lang w:eastAsia="en-US"/>
        </w:rPr>
        <w:t xml:space="preserve"> из них заняты, </w:t>
      </w:r>
      <w:r w:rsidRPr="00DA3789">
        <w:rPr>
          <w:rFonts w:eastAsia="Calibri"/>
          <w:lang w:eastAsia="en-US"/>
        </w:rPr>
        <w:t>укомплектованность составляет 82,4%).</w:t>
      </w:r>
    </w:p>
    <w:p w:rsidR="00780EE5" w:rsidRPr="00DA3789" w:rsidRDefault="00796E61" w:rsidP="00DA3789">
      <w:pPr>
        <w:spacing w:line="480" w:lineRule="auto"/>
        <w:jc w:val="both"/>
        <w:rPr>
          <w:rFonts w:eastAsia="Calibri"/>
          <w:lang w:eastAsia="en-US"/>
        </w:rPr>
      </w:pPr>
      <w:r w:rsidRPr="00DA3789">
        <w:rPr>
          <w:b/>
          <w:spacing w:val="20"/>
        </w:rPr>
        <w:t xml:space="preserve"> </w:t>
      </w:r>
      <w:r w:rsidR="00780EE5" w:rsidRPr="00DA3789">
        <w:rPr>
          <w:rFonts w:eastAsia="Calibri"/>
          <w:lang w:eastAsia="en-US"/>
        </w:rPr>
        <w:t>Обеспеченность врачами – урологами на 10000 населения (2015 г.)</w:t>
      </w:r>
      <w:r w:rsidR="00807B68" w:rsidRPr="00DA3789">
        <w:rPr>
          <w:rFonts w:eastAsia="Calibri"/>
          <w:lang w:eastAsia="en-US"/>
        </w:rPr>
        <w:t xml:space="preserve">: по ЯНАО - 0,33 (по РФ – 0,39). </w:t>
      </w:r>
      <w:r w:rsidR="00780EE5" w:rsidRPr="00DA3789">
        <w:rPr>
          <w:rFonts w:eastAsia="Calibri"/>
          <w:lang w:eastAsia="en-US"/>
        </w:rPr>
        <w:t>Обеспеченность уролог</w:t>
      </w:r>
      <w:r w:rsidR="00807B68" w:rsidRPr="00DA3789">
        <w:rPr>
          <w:rFonts w:eastAsia="Calibri"/>
          <w:lang w:eastAsia="en-US"/>
        </w:rPr>
        <w:t>ическими</w:t>
      </w:r>
      <w:r w:rsidR="00780EE5" w:rsidRPr="00DA3789">
        <w:rPr>
          <w:rFonts w:eastAsia="Calibri"/>
          <w:lang w:eastAsia="en-US"/>
        </w:rPr>
        <w:t xml:space="preserve"> койками в ЛПУ на 10000 населения (2014 г.)</w:t>
      </w:r>
      <w:r w:rsidR="00807B68" w:rsidRPr="00DA3789">
        <w:rPr>
          <w:rFonts w:eastAsia="Calibri"/>
          <w:lang w:eastAsia="en-US"/>
        </w:rPr>
        <w:t>: по ЯНАО - 1,55 (по РФ - 1,89)</w:t>
      </w:r>
    </w:p>
    <w:p w:rsidR="00C0677B" w:rsidRPr="00DA3789" w:rsidRDefault="00C0677B" w:rsidP="00DA3789">
      <w:pPr>
        <w:spacing w:line="480" w:lineRule="auto"/>
        <w:jc w:val="both"/>
      </w:pPr>
      <w:r w:rsidRPr="00DA3789">
        <w:lastRenderedPageBreak/>
        <w:t xml:space="preserve">В </w:t>
      </w:r>
      <w:proofErr w:type="gramStart"/>
      <w:r w:rsidRPr="00DA3789">
        <w:t>г</w:t>
      </w:r>
      <w:proofErr w:type="gramEnd"/>
      <w:r w:rsidRPr="00DA3789">
        <w:t>. Ноябрьске функционирует единственное в автономном округе урологическое отделение на 3</w:t>
      </w:r>
      <w:r w:rsidR="00CF4343" w:rsidRPr="00DA3789">
        <w:t>9</w:t>
      </w:r>
      <w:r w:rsidRPr="00DA3789">
        <w:t xml:space="preserve"> урологических ко</w:t>
      </w:r>
      <w:r w:rsidR="00CF4343" w:rsidRPr="00DA3789">
        <w:t>е</w:t>
      </w:r>
      <w:r w:rsidRPr="00DA3789">
        <w:t xml:space="preserve">к. </w:t>
      </w:r>
      <w:r w:rsidR="009855CE" w:rsidRPr="00DA3789">
        <w:t>У</w:t>
      </w:r>
      <w:r w:rsidRPr="00DA3789">
        <w:t>рологическ</w:t>
      </w:r>
      <w:r w:rsidR="009855CE" w:rsidRPr="00DA3789">
        <w:t>ая служба (</w:t>
      </w:r>
      <w:r w:rsidRPr="00DA3789">
        <w:t>койки</w:t>
      </w:r>
      <w:r w:rsidR="009855CE" w:rsidRPr="00DA3789">
        <w:t xml:space="preserve"> в </w:t>
      </w:r>
      <w:proofErr w:type="gramStart"/>
      <w:r w:rsidR="009855CE" w:rsidRPr="00DA3789">
        <w:t>составе</w:t>
      </w:r>
      <w:proofErr w:type="gramEnd"/>
      <w:r w:rsidR="009855CE" w:rsidRPr="00DA3789">
        <w:t xml:space="preserve"> хирургических отделений, </w:t>
      </w:r>
      <w:r w:rsidR="007D1FEC" w:rsidRPr="00DA3789">
        <w:t xml:space="preserve">амбулаторный </w:t>
      </w:r>
      <w:r w:rsidR="009855CE" w:rsidRPr="00DA3789">
        <w:t>прием, врачи)</w:t>
      </w:r>
      <w:r w:rsidRPr="00DA3789">
        <w:t xml:space="preserve"> распределены территориально следующим образом:</w:t>
      </w:r>
    </w:p>
    <w:p w:rsidR="00C0677B" w:rsidRPr="00DA3789" w:rsidRDefault="00C0677B" w:rsidP="00DA3789">
      <w:pPr>
        <w:pStyle w:val="a4"/>
        <w:numPr>
          <w:ilvl w:val="0"/>
          <w:numId w:val="2"/>
        </w:numPr>
        <w:spacing w:line="480" w:lineRule="auto"/>
        <w:ind w:left="284" w:hanging="284"/>
        <w:jc w:val="both"/>
      </w:pPr>
      <w:r w:rsidRPr="00DA3789">
        <w:t>ЦГБ  г. Ноябрьск - 3</w:t>
      </w:r>
      <w:r w:rsidR="00A64079" w:rsidRPr="00DA3789">
        <w:t>9</w:t>
      </w:r>
      <w:r w:rsidRPr="00DA3789">
        <w:t xml:space="preserve"> коек (и</w:t>
      </w:r>
      <w:r w:rsidR="00A64079" w:rsidRPr="00DA3789">
        <w:t>з</w:t>
      </w:r>
      <w:r w:rsidRPr="00DA3789">
        <w:t xml:space="preserve"> </w:t>
      </w:r>
      <w:r w:rsidR="00A64079" w:rsidRPr="00DA3789">
        <w:t xml:space="preserve">них </w:t>
      </w:r>
      <w:r w:rsidRPr="00DA3789">
        <w:t>6 детских)</w:t>
      </w:r>
      <w:r w:rsidR="007D1FEC" w:rsidRPr="00DA3789">
        <w:t>,</w:t>
      </w:r>
      <w:r w:rsidR="009855CE" w:rsidRPr="00DA3789">
        <w:t xml:space="preserve"> </w:t>
      </w:r>
      <w:r w:rsidR="007D1FEC" w:rsidRPr="00DA3789">
        <w:t xml:space="preserve">прием, </w:t>
      </w:r>
      <w:r w:rsidR="009855CE" w:rsidRPr="00DA3789">
        <w:t>4 уролога</w:t>
      </w:r>
    </w:p>
    <w:p w:rsidR="00C0677B" w:rsidRPr="00DA3789" w:rsidRDefault="00C0677B" w:rsidP="00DA3789">
      <w:pPr>
        <w:pStyle w:val="a4"/>
        <w:numPr>
          <w:ilvl w:val="0"/>
          <w:numId w:val="2"/>
        </w:numPr>
        <w:spacing w:line="480" w:lineRule="auto"/>
        <w:ind w:left="284" w:hanging="284"/>
        <w:jc w:val="both"/>
      </w:pPr>
      <w:r w:rsidRPr="00DA3789">
        <w:t>ЦГБ г. Новый Уренгой – 10 коек</w:t>
      </w:r>
      <w:r w:rsidR="007D3802" w:rsidRPr="00DA3789">
        <w:t>,</w:t>
      </w:r>
      <w:r w:rsidRPr="00DA3789">
        <w:t xml:space="preserve"> </w:t>
      </w:r>
      <w:r w:rsidR="007D1FEC" w:rsidRPr="00DA3789">
        <w:t>прием,</w:t>
      </w:r>
      <w:r w:rsidR="009855CE" w:rsidRPr="00DA3789">
        <w:t xml:space="preserve"> 4 уролога </w:t>
      </w:r>
    </w:p>
    <w:p w:rsidR="00C0677B" w:rsidRPr="00DA3789" w:rsidRDefault="00C0677B" w:rsidP="00DA3789">
      <w:pPr>
        <w:pStyle w:val="a4"/>
        <w:numPr>
          <w:ilvl w:val="0"/>
          <w:numId w:val="2"/>
        </w:numPr>
        <w:spacing w:line="480" w:lineRule="auto"/>
        <w:ind w:left="284" w:hanging="284"/>
        <w:jc w:val="both"/>
      </w:pPr>
      <w:r w:rsidRPr="00DA3789">
        <w:t>ЦРБ г. Надым - 8 коек</w:t>
      </w:r>
      <w:r w:rsidR="007D3802" w:rsidRPr="00DA3789">
        <w:t>,</w:t>
      </w:r>
      <w:r w:rsidR="009855CE" w:rsidRPr="00DA3789">
        <w:t xml:space="preserve"> </w:t>
      </w:r>
      <w:r w:rsidR="007D1FEC" w:rsidRPr="00DA3789">
        <w:t>прием,</w:t>
      </w:r>
      <w:r w:rsidR="009855CE" w:rsidRPr="00DA3789">
        <w:t xml:space="preserve"> 2 уролога</w:t>
      </w:r>
    </w:p>
    <w:p w:rsidR="00C0677B" w:rsidRPr="00DA3789" w:rsidRDefault="00C0677B" w:rsidP="00DA3789">
      <w:pPr>
        <w:pStyle w:val="a4"/>
        <w:numPr>
          <w:ilvl w:val="0"/>
          <w:numId w:val="2"/>
        </w:numPr>
        <w:spacing w:line="480" w:lineRule="auto"/>
        <w:ind w:left="284" w:hanging="284"/>
        <w:jc w:val="both"/>
      </w:pPr>
      <w:r w:rsidRPr="00DA3789">
        <w:t>ЦРБ г.</w:t>
      </w:r>
      <w:r w:rsidR="00425BEB" w:rsidRPr="00DA3789">
        <w:t xml:space="preserve"> </w:t>
      </w:r>
      <w:r w:rsidRPr="00DA3789">
        <w:t>Тарко-Сале - 8 коек</w:t>
      </w:r>
      <w:r w:rsidR="009855CE" w:rsidRPr="00DA3789">
        <w:t xml:space="preserve"> </w:t>
      </w:r>
      <w:r w:rsidR="007D1FEC" w:rsidRPr="00DA3789">
        <w:t xml:space="preserve">прием, </w:t>
      </w:r>
      <w:r w:rsidR="009855CE" w:rsidRPr="00DA3789">
        <w:t>1 уролог</w:t>
      </w:r>
    </w:p>
    <w:p w:rsidR="00C0677B" w:rsidRPr="00DA3789" w:rsidRDefault="00C0677B" w:rsidP="00DA3789">
      <w:pPr>
        <w:pStyle w:val="a4"/>
        <w:numPr>
          <w:ilvl w:val="0"/>
          <w:numId w:val="2"/>
        </w:numPr>
        <w:spacing w:line="480" w:lineRule="auto"/>
        <w:ind w:left="284" w:hanging="284"/>
        <w:jc w:val="both"/>
      </w:pPr>
      <w:r w:rsidRPr="00DA3789">
        <w:t>ГБ г. Губкинский - 5 коек</w:t>
      </w:r>
      <w:r w:rsidR="007D3802" w:rsidRPr="00DA3789">
        <w:t>,</w:t>
      </w:r>
      <w:r w:rsidR="009855CE" w:rsidRPr="00DA3789">
        <w:t xml:space="preserve"> </w:t>
      </w:r>
      <w:r w:rsidR="007D1FEC" w:rsidRPr="00DA3789">
        <w:t xml:space="preserve">прием, </w:t>
      </w:r>
      <w:r w:rsidR="009855CE" w:rsidRPr="00DA3789">
        <w:t xml:space="preserve"> 2 уролога</w:t>
      </w:r>
    </w:p>
    <w:p w:rsidR="00C0677B" w:rsidRPr="00DA3789" w:rsidRDefault="00C0677B" w:rsidP="00DA3789">
      <w:pPr>
        <w:pStyle w:val="a4"/>
        <w:numPr>
          <w:ilvl w:val="0"/>
          <w:numId w:val="2"/>
        </w:numPr>
        <w:spacing w:line="480" w:lineRule="auto"/>
        <w:ind w:left="284" w:hanging="284"/>
        <w:jc w:val="both"/>
      </w:pPr>
      <w:r w:rsidRPr="00DA3789">
        <w:t>Салехардская ОКБ г. Салехард - 10 коек</w:t>
      </w:r>
      <w:r w:rsidR="007D3802" w:rsidRPr="00DA3789">
        <w:t>,</w:t>
      </w:r>
      <w:r w:rsidR="009855CE" w:rsidRPr="00DA3789">
        <w:t xml:space="preserve"> </w:t>
      </w:r>
      <w:r w:rsidR="007D3802" w:rsidRPr="00DA3789">
        <w:t>прием,</w:t>
      </w:r>
      <w:r w:rsidR="009855CE" w:rsidRPr="00DA3789">
        <w:t xml:space="preserve"> 3 уролога</w:t>
      </w:r>
    </w:p>
    <w:p w:rsidR="00C0677B" w:rsidRPr="00DA3789" w:rsidRDefault="00C0677B" w:rsidP="00DA3789">
      <w:pPr>
        <w:pStyle w:val="a4"/>
        <w:numPr>
          <w:ilvl w:val="0"/>
          <w:numId w:val="2"/>
        </w:numPr>
        <w:spacing w:line="480" w:lineRule="auto"/>
        <w:ind w:left="284" w:hanging="284"/>
        <w:jc w:val="both"/>
      </w:pPr>
      <w:r w:rsidRPr="00DA3789">
        <w:t>ГБ г. Лабытнанги - 10 коек</w:t>
      </w:r>
      <w:r w:rsidR="007D3802" w:rsidRPr="00DA3789">
        <w:t>,</w:t>
      </w:r>
      <w:r w:rsidR="009855CE" w:rsidRPr="00DA3789">
        <w:t xml:space="preserve"> </w:t>
      </w:r>
      <w:r w:rsidR="007D1FEC" w:rsidRPr="00DA3789">
        <w:t xml:space="preserve">прием, </w:t>
      </w:r>
      <w:r w:rsidR="009855CE" w:rsidRPr="00DA3789">
        <w:t xml:space="preserve">1 </w:t>
      </w:r>
      <w:r w:rsidR="007D3802" w:rsidRPr="00DA3789">
        <w:t>уролог</w:t>
      </w:r>
    </w:p>
    <w:p w:rsidR="007D3802" w:rsidRPr="00DA3789" w:rsidRDefault="007D3802" w:rsidP="00DA3789">
      <w:pPr>
        <w:pStyle w:val="a4"/>
        <w:numPr>
          <w:ilvl w:val="0"/>
          <w:numId w:val="2"/>
        </w:numPr>
        <w:spacing w:line="480" w:lineRule="auto"/>
        <w:ind w:left="284" w:hanging="284"/>
        <w:jc w:val="both"/>
      </w:pPr>
      <w:r w:rsidRPr="00DA3789">
        <w:t>ГБ г. Муравленко - 0 коек, прием, 1 уролог</w:t>
      </w:r>
    </w:p>
    <w:p w:rsidR="000A7505" w:rsidRPr="00DA3789" w:rsidRDefault="00C0677B" w:rsidP="00DA3789">
      <w:pPr>
        <w:pStyle w:val="a4"/>
        <w:spacing w:line="480" w:lineRule="auto"/>
        <w:ind w:left="0"/>
        <w:jc w:val="both"/>
        <w:rPr>
          <w:b/>
        </w:rPr>
      </w:pPr>
      <w:r w:rsidRPr="00DA3789">
        <w:t>Всего на территории ЯНАО функционирует 84 урологические койки (и 6 детских урологических)</w:t>
      </w:r>
      <w:r w:rsidR="005C7DF0" w:rsidRPr="00DA3789">
        <w:t xml:space="preserve">. </w:t>
      </w:r>
      <w:r w:rsidRPr="00DA3789">
        <w:t>Экстренная круглосуточная урологическая помощь</w:t>
      </w:r>
      <w:r w:rsidR="00425BEB" w:rsidRPr="00DA3789">
        <w:t>,</w:t>
      </w:r>
      <w:r w:rsidRPr="00DA3789">
        <w:t xml:space="preserve"> как правило</w:t>
      </w:r>
      <w:r w:rsidR="00425BEB" w:rsidRPr="00DA3789">
        <w:t>,</w:t>
      </w:r>
      <w:r w:rsidRPr="00DA3789">
        <w:t xml:space="preserve"> осуществляется дежурными хирургами. При необходимости ургентная помощь осуществляется урологами</w:t>
      </w:r>
      <w:r w:rsidR="00425BEB" w:rsidRPr="00DA3789">
        <w:t>,</w:t>
      </w:r>
      <w:r w:rsidRPr="00DA3789">
        <w:t xml:space="preserve"> вызванными из дому. Круглосуточной  урологической помощи как таковой не существует. В небольших отдаленных ЛПУ, ФАПах, посёлках помощь оказывается хирургами или фельдшерами.</w:t>
      </w:r>
      <w:r w:rsidRPr="00DA3789">
        <w:rPr>
          <w:b/>
        </w:rPr>
        <w:t xml:space="preserve"> </w:t>
      </w:r>
    </w:p>
    <w:p w:rsidR="000A7505" w:rsidRPr="00DA3789" w:rsidRDefault="000A7505" w:rsidP="00DA3789">
      <w:pPr>
        <w:spacing w:line="480" w:lineRule="auto"/>
        <w:jc w:val="center"/>
        <w:rPr>
          <w:rFonts w:eastAsia="Calibri"/>
          <w:lang w:eastAsia="en-US"/>
        </w:rPr>
      </w:pPr>
      <w:r w:rsidRPr="00DA3789">
        <w:rPr>
          <w:rFonts w:eastAsia="Calibri"/>
          <w:lang w:eastAsia="en-US"/>
        </w:rPr>
        <w:t xml:space="preserve">Общая и первичная заболеваемость мочеполовой сферы </w:t>
      </w:r>
    </w:p>
    <w:p w:rsidR="000A7505" w:rsidRPr="00DA3789" w:rsidRDefault="000A7505" w:rsidP="00DA3789">
      <w:pPr>
        <w:spacing w:line="480" w:lineRule="auto"/>
        <w:jc w:val="center"/>
        <w:rPr>
          <w:rFonts w:eastAsia="Calibri"/>
          <w:lang w:eastAsia="en-US"/>
        </w:rPr>
      </w:pPr>
      <w:r w:rsidRPr="00DA3789">
        <w:rPr>
          <w:rFonts w:eastAsia="Calibri"/>
          <w:lang w:eastAsia="en-US"/>
        </w:rPr>
        <w:t xml:space="preserve">на 1000 населения ЯНАО на 2015 г. </w:t>
      </w:r>
    </w:p>
    <w:p w:rsidR="000A7505" w:rsidRPr="00DA3789" w:rsidRDefault="000A7505" w:rsidP="00DA3789">
      <w:pPr>
        <w:spacing w:line="480" w:lineRule="auto"/>
        <w:rPr>
          <w:rFonts w:eastAsia="Calibri"/>
          <w:lang w:eastAsia="en-US"/>
        </w:rPr>
      </w:pPr>
      <w:r w:rsidRPr="00DA3789">
        <w:rPr>
          <w:rFonts w:eastAsia="Calibri"/>
          <w:lang w:eastAsia="en-US"/>
        </w:rPr>
        <w:t>Заболеваемость мочеполовой сферы населения ЯНАО выше</w:t>
      </w:r>
      <w:r w:rsidR="00425BEB" w:rsidRPr="00DA3789">
        <w:rPr>
          <w:rFonts w:eastAsia="Calibri"/>
          <w:lang w:eastAsia="en-US"/>
        </w:rPr>
        <w:t>,</w:t>
      </w:r>
      <w:r w:rsidRPr="00DA3789">
        <w:rPr>
          <w:rFonts w:eastAsia="Calibri"/>
          <w:lang w:eastAsia="en-US"/>
        </w:rPr>
        <w:t xml:space="preserve"> чем по России, что вызвано множеством неблагоприятных фактор</w:t>
      </w:r>
      <w:r w:rsidR="00FF5052" w:rsidRPr="00DA3789">
        <w:rPr>
          <w:rFonts w:eastAsia="Calibri"/>
          <w:lang w:eastAsia="en-US"/>
        </w:rPr>
        <w:t>ов</w:t>
      </w:r>
      <w:r w:rsidRPr="00DA3789">
        <w:rPr>
          <w:rFonts w:eastAsia="Calibri"/>
          <w:lang w:eastAsia="en-US"/>
        </w:rPr>
        <w:t>, которые увеличивают  риск возникновения урологической патологии.</w:t>
      </w:r>
    </w:p>
    <w:p w:rsidR="000A7505" w:rsidRPr="00DA3789" w:rsidRDefault="000A7505" w:rsidP="006F2606">
      <w:pPr>
        <w:spacing w:line="360" w:lineRule="auto"/>
        <w:ind w:left="-567"/>
        <w:jc w:val="center"/>
        <w:rPr>
          <w:rFonts w:eastAsia="Calibri"/>
          <w:lang w:eastAsia="en-US"/>
        </w:rPr>
      </w:pPr>
      <w:r w:rsidRPr="00DA3789">
        <w:rPr>
          <w:rFonts w:eastAsia="Calibri"/>
          <w:noProof/>
        </w:rPr>
        <w:lastRenderedPageBreak/>
        <w:drawing>
          <wp:inline distT="0" distB="0" distL="0" distR="0">
            <wp:extent cx="5939790" cy="3327893"/>
            <wp:effectExtent l="19050" t="0" r="22860" b="5857"/>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A7505" w:rsidRPr="00DA3789" w:rsidRDefault="000A7505" w:rsidP="006F2606">
      <w:pPr>
        <w:spacing w:line="360" w:lineRule="auto"/>
        <w:ind w:firstLine="708"/>
        <w:jc w:val="both"/>
      </w:pPr>
    </w:p>
    <w:p w:rsidR="00090212" w:rsidRPr="00DA3789" w:rsidRDefault="00090212" w:rsidP="006F2606">
      <w:pPr>
        <w:spacing w:line="360" w:lineRule="auto"/>
        <w:ind w:firstLine="708"/>
        <w:jc w:val="center"/>
        <w:rPr>
          <w:bCs/>
        </w:rPr>
      </w:pPr>
      <w:r w:rsidRPr="00DA3789">
        <w:rPr>
          <w:bCs/>
        </w:rPr>
        <w:t xml:space="preserve">ЧИСЛО </w:t>
      </w:r>
      <w:proofErr w:type="gramStart"/>
      <w:r w:rsidR="0018565F" w:rsidRPr="00DA3789">
        <w:rPr>
          <w:bCs/>
        </w:rPr>
        <w:t>УРОЛОГИЧЕСКИХ</w:t>
      </w:r>
      <w:proofErr w:type="gramEnd"/>
      <w:r w:rsidR="0018565F" w:rsidRPr="00DA3789">
        <w:rPr>
          <w:bCs/>
        </w:rPr>
        <w:t xml:space="preserve"> </w:t>
      </w:r>
      <w:r w:rsidRPr="00DA3789">
        <w:rPr>
          <w:bCs/>
        </w:rPr>
        <w:t>ОПЕРАЦИИ ЛПУ ЯНАО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31"/>
        <w:gridCol w:w="1247"/>
        <w:gridCol w:w="1247"/>
        <w:gridCol w:w="1247"/>
        <w:gridCol w:w="1247"/>
        <w:gridCol w:w="1247"/>
        <w:gridCol w:w="1247"/>
        <w:gridCol w:w="1248"/>
      </w:tblGrid>
      <w:tr w:rsidR="00090212" w:rsidRPr="00DA3789" w:rsidTr="002A241F">
        <w:trPr>
          <w:trHeight w:val="290"/>
          <w:jc w:val="center"/>
        </w:trPr>
        <w:tc>
          <w:tcPr>
            <w:tcW w:w="631" w:type="dxa"/>
          </w:tcPr>
          <w:p w:rsidR="00090212" w:rsidRPr="00DA3789" w:rsidRDefault="00090212" w:rsidP="006F2606">
            <w:pPr>
              <w:autoSpaceDE w:val="0"/>
              <w:autoSpaceDN w:val="0"/>
              <w:adjustRightInd w:val="0"/>
              <w:spacing w:line="360" w:lineRule="auto"/>
              <w:rPr>
                <w:color w:val="000000"/>
              </w:rPr>
            </w:pPr>
          </w:p>
        </w:tc>
        <w:tc>
          <w:tcPr>
            <w:tcW w:w="1247" w:type="dxa"/>
          </w:tcPr>
          <w:p w:rsidR="00090212" w:rsidRPr="00DA3789" w:rsidRDefault="00090212" w:rsidP="006F2606">
            <w:pPr>
              <w:autoSpaceDE w:val="0"/>
              <w:autoSpaceDN w:val="0"/>
              <w:adjustRightInd w:val="0"/>
              <w:spacing w:line="360" w:lineRule="auto"/>
              <w:jc w:val="center"/>
              <w:rPr>
                <w:color w:val="000000"/>
              </w:rPr>
            </w:pPr>
            <w:r w:rsidRPr="00DA3789">
              <w:rPr>
                <w:color w:val="000000"/>
              </w:rPr>
              <w:t>Салехардская ОКБ</w:t>
            </w:r>
          </w:p>
        </w:tc>
        <w:tc>
          <w:tcPr>
            <w:tcW w:w="1247" w:type="dxa"/>
          </w:tcPr>
          <w:p w:rsidR="00090212" w:rsidRPr="00DA3789" w:rsidRDefault="00090212" w:rsidP="006F2606">
            <w:pPr>
              <w:autoSpaceDE w:val="0"/>
              <w:autoSpaceDN w:val="0"/>
              <w:adjustRightInd w:val="0"/>
              <w:spacing w:line="360" w:lineRule="auto"/>
              <w:jc w:val="center"/>
              <w:rPr>
                <w:color w:val="000000"/>
              </w:rPr>
            </w:pPr>
            <w:r w:rsidRPr="00DA3789">
              <w:rPr>
                <w:color w:val="000000"/>
              </w:rPr>
              <w:t>Ноябрьская ЦГБ</w:t>
            </w:r>
          </w:p>
        </w:tc>
        <w:tc>
          <w:tcPr>
            <w:tcW w:w="1247" w:type="dxa"/>
          </w:tcPr>
          <w:p w:rsidR="00090212" w:rsidRPr="00DA3789" w:rsidRDefault="00425BEB" w:rsidP="006F2606">
            <w:pPr>
              <w:autoSpaceDE w:val="0"/>
              <w:autoSpaceDN w:val="0"/>
              <w:adjustRightInd w:val="0"/>
              <w:spacing w:line="360" w:lineRule="auto"/>
              <w:jc w:val="center"/>
              <w:rPr>
                <w:color w:val="000000"/>
              </w:rPr>
            </w:pPr>
            <w:proofErr w:type="spellStart"/>
            <w:r w:rsidRPr="00DA3789">
              <w:rPr>
                <w:color w:val="000000"/>
              </w:rPr>
              <w:t>Н-</w:t>
            </w:r>
            <w:r w:rsidR="00090212" w:rsidRPr="00DA3789">
              <w:rPr>
                <w:color w:val="000000"/>
              </w:rPr>
              <w:t>Уренгойская</w:t>
            </w:r>
            <w:proofErr w:type="spellEnd"/>
            <w:r w:rsidR="00090212" w:rsidRPr="00DA3789">
              <w:rPr>
                <w:color w:val="000000"/>
              </w:rPr>
              <w:t xml:space="preserve"> ЦГБ</w:t>
            </w:r>
          </w:p>
        </w:tc>
        <w:tc>
          <w:tcPr>
            <w:tcW w:w="1247" w:type="dxa"/>
          </w:tcPr>
          <w:p w:rsidR="00090212" w:rsidRPr="00DA3789" w:rsidRDefault="00090212" w:rsidP="006F2606">
            <w:pPr>
              <w:autoSpaceDE w:val="0"/>
              <w:autoSpaceDN w:val="0"/>
              <w:adjustRightInd w:val="0"/>
              <w:spacing w:line="360" w:lineRule="auto"/>
              <w:jc w:val="center"/>
              <w:rPr>
                <w:color w:val="000000"/>
              </w:rPr>
            </w:pPr>
            <w:r w:rsidRPr="00DA3789">
              <w:rPr>
                <w:color w:val="000000"/>
              </w:rPr>
              <w:t>Надымская ЦРБ</w:t>
            </w:r>
          </w:p>
        </w:tc>
        <w:tc>
          <w:tcPr>
            <w:tcW w:w="1247" w:type="dxa"/>
          </w:tcPr>
          <w:p w:rsidR="00090212" w:rsidRPr="00DA3789" w:rsidRDefault="00090212" w:rsidP="006F2606">
            <w:pPr>
              <w:autoSpaceDE w:val="0"/>
              <w:autoSpaceDN w:val="0"/>
              <w:adjustRightInd w:val="0"/>
              <w:spacing w:line="360" w:lineRule="auto"/>
              <w:jc w:val="center"/>
              <w:rPr>
                <w:color w:val="000000"/>
              </w:rPr>
            </w:pPr>
            <w:r w:rsidRPr="00DA3789">
              <w:rPr>
                <w:color w:val="000000"/>
              </w:rPr>
              <w:t>Тарко-Салинская ЦРБ</w:t>
            </w:r>
          </w:p>
        </w:tc>
        <w:tc>
          <w:tcPr>
            <w:tcW w:w="1247" w:type="dxa"/>
          </w:tcPr>
          <w:p w:rsidR="00090212" w:rsidRPr="00DA3789" w:rsidRDefault="00090212" w:rsidP="006F2606">
            <w:pPr>
              <w:autoSpaceDE w:val="0"/>
              <w:autoSpaceDN w:val="0"/>
              <w:adjustRightInd w:val="0"/>
              <w:spacing w:line="360" w:lineRule="auto"/>
              <w:jc w:val="center"/>
              <w:rPr>
                <w:color w:val="000000"/>
              </w:rPr>
            </w:pPr>
            <w:r w:rsidRPr="00DA3789">
              <w:rPr>
                <w:color w:val="000000"/>
              </w:rPr>
              <w:t>Губкинская ГБ</w:t>
            </w:r>
          </w:p>
        </w:tc>
        <w:tc>
          <w:tcPr>
            <w:tcW w:w="1248" w:type="dxa"/>
          </w:tcPr>
          <w:p w:rsidR="00090212" w:rsidRPr="00DA3789" w:rsidRDefault="00090212" w:rsidP="006F2606">
            <w:pPr>
              <w:autoSpaceDE w:val="0"/>
              <w:autoSpaceDN w:val="0"/>
              <w:adjustRightInd w:val="0"/>
              <w:spacing w:line="360" w:lineRule="auto"/>
              <w:jc w:val="center"/>
              <w:rPr>
                <w:color w:val="000000"/>
              </w:rPr>
            </w:pPr>
          </w:p>
          <w:p w:rsidR="00090212" w:rsidRPr="00DA3789" w:rsidRDefault="00090212" w:rsidP="006F2606">
            <w:pPr>
              <w:autoSpaceDE w:val="0"/>
              <w:autoSpaceDN w:val="0"/>
              <w:adjustRightInd w:val="0"/>
              <w:spacing w:line="360" w:lineRule="auto"/>
              <w:jc w:val="center"/>
              <w:rPr>
                <w:color w:val="000000"/>
              </w:rPr>
            </w:pPr>
            <w:r w:rsidRPr="00DA3789">
              <w:rPr>
                <w:color w:val="000000"/>
              </w:rPr>
              <w:t>ВСЕГО:</w:t>
            </w:r>
          </w:p>
        </w:tc>
      </w:tr>
      <w:tr w:rsidR="00090212" w:rsidRPr="00DA3789" w:rsidTr="002A241F">
        <w:trPr>
          <w:trHeight w:val="290"/>
          <w:jc w:val="center"/>
        </w:trPr>
        <w:tc>
          <w:tcPr>
            <w:tcW w:w="631" w:type="dxa"/>
          </w:tcPr>
          <w:p w:rsidR="00090212" w:rsidRPr="00DA3789" w:rsidRDefault="00090212" w:rsidP="006F2606">
            <w:pPr>
              <w:autoSpaceDE w:val="0"/>
              <w:autoSpaceDN w:val="0"/>
              <w:adjustRightInd w:val="0"/>
              <w:spacing w:line="360" w:lineRule="auto"/>
              <w:jc w:val="right"/>
              <w:rPr>
                <w:color w:val="000000"/>
              </w:rPr>
            </w:pPr>
            <w:r w:rsidRPr="00DA3789">
              <w:rPr>
                <w:color w:val="000000"/>
              </w:rPr>
              <w:t>2009</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231</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400</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221</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118</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77</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56</w:t>
            </w:r>
          </w:p>
        </w:tc>
        <w:tc>
          <w:tcPr>
            <w:tcW w:w="1248" w:type="dxa"/>
          </w:tcPr>
          <w:p w:rsidR="00090212" w:rsidRPr="00DA3789" w:rsidRDefault="007F2B9E" w:rsidP="006F2606">
            <w:pPr>
              <w:autoSpaceDE w:val="0"/>
              <w:autoSpaceDN w:val="0"/>
              <w:adjustRightInd w:val="0"/>
              <w:spacing w:line="360" w:lineRule="auto"/>
              <w:jc w:val="center"/>
              <w:rPr>
                <w:b/>
                <w:color w:val="000000"/>
              </w:rPr>
            </w:pPr>
            <w:r w:rsidRPr="00DA3789">
              <w:rPr>
                <w:b/>
                <w:color w:val="000000"/>
              </w:rPr>
              <w:t>1103</w:t>
            </w:r>
          </w:p>
        </w:tc>
      </w:tr>
      <w:tr w:rsidR="00090212" w:rsidRPr="00DA3789" w:rsidTr="002A241F">
        <w:trPr>
          <w:trHeight w:val="290"/>
          <w:jc w:val="center"/>
        </w:trPr>
        <w:tc>
          <w:tcPr>
            <w:tcW w:w="631" w:type="dxa"/>
          </w:tcPr>
          <w:p w:rsidR="00090212" w:rsidRPr="00DA3789" w:rsidRDefault="00090212" w:rsidP="006F2606">
            <w:pPr>
              <w:autoSpaceDE w:val="0"/>
              <w:autoSpaceDN w:val="0"/>
              <w:adjustRightInd w:val="0"/>
              <w:spacing w:line="360" w:lineRule="auto"/>
              <w:jc w:val="right"/>
              <w:rPr>
                <w:color w:val="000000"/>
              </w:rPr>
            </w:pPr>
            <w:r w:rsidRPr="00DA3789">
              <w:rPr>
                <w:color w:val="000000"/>
              </w:rPr>
              <w:t>2010</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224</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431</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180</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127</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55</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86</w:t>
            </w:r>
          </w:p>
        </w:tc>
        <w:tc>
          <w:tcPr>
            <w:tcW w:w="1248" w:type="dxa"/>
          </w:tcPr>
          <w:p w:rsidR="00090212" w:rsidRPr="00DA3789" w:rsidRDefault="007F2B9E" w:rsidP="006F2606">
            <w:pPr>
              <w:autoSpaceDE w:val="0"/>
              <w:autoSpaceDN w:val="0"/>
              <w:adjustRightInd w:val="0"/>
              <w:spacing w:line="360" w:lineRule="auto"/>
              <w:jc w:val="center"/>
              <w:rPr>
                <w:b/>
                <w:color w:val="000000"/>
              </w:rPr>
            </w:pPr>
            <w:r w:rsidRPr="00DA3789">
              <w:rPr>
                <w:b/>
                <w:color w:val="000000"/>
              </w:rPr>
              <w:t>1103</w:t>
            </w:r>
          </w:p>
        </w:tc>
      </w:tr>
      <w:tr w:rsidR="00090212" w:rsidRPr="00DA3789" w:rsidTr="002A241F">
        <w:trPr>
          <w:trHeight w:val="290"/>
          <w:jc w:val="center"/>
        </w:trPr>
        <w:tc>
          <w:tcPr>
            <w:tcW w:w="631" w:type="dxa"/>
          </w:tcPr>
          <w:p w:rsidR="00090212" w:rsidRPr="00DA3789" w:rsidRDefault="00090212" w:rsidP="006F2606">
            <w:pPr>
              <w:autoSpaceDE w:val="0"/>
              <w:autoSpaceDN w:val="0"/>
              <w:adjustRightInd w:val="0"/>
              <w:spacing w:line="360" w:lineRule="auto"/>
              <w:jc w:val="right"/>
              <w:rPr>
                <w:color w:val="000000"/>
              </w:rPr>
            </w:pPr>
            <w:r w:rsidRPr="00DA3789">
              <w:rPr>
                <w:color w:val="000000"/>
              </w:rPr>
              <w:t>2011</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196</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445</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200</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152</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28</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145</w:t>
            </w:r>
          </w:p>
        </w:tc>
        <w:tc>
          <w:tcPr>
            <w:tcW w:w="1248" w:type="dxa"/>
          </w:tcPr>
          <w:p w:rsidR="00090212" w:rsidRPr="00DA3789" w:rsidRDefault="007F2B9E" w:rsidP="006F2606">
            <w:pPr>
              <w:autoSpaceDE w:val="0"/>
              <w:autoSpaceDN w:val="0"/>
              <w:adjustRightInd w:val="0"/>
              <w:spacing w:line="360" w:lineRule="auto"/>
              <w:jc w:val="center"/>
              <w:rPr>
                <w:b/>
                <w:color w:val="000000"/>
              </w:rPr>
            </w:pPr>
            <w:r w:rsidRPr="00DA3789">
              <w:rPr>
                <w:b/>
                <w:color w:val="000000"/>
              </w:rPr>
              <w:t>1166</w:t>
            </w:r>
          </w:p>
        </w:tc>
      </w:tr>
      <w:tr w:rsidR="00090212" w:rsidRPr="00DA3789" w:rsidTr="002A241F">
        <w:trPr>
          <w:trHeight w:val="290"/>
          <w:jc w:val="center"/>
        </w:trPr>
        <w:tc>
          <w:tcPr>
            <w:tcW w:w="631" w:type="dxa"/>
          </w:tcPr>
          <w:p w:rsidR="00090212" w:rsidRPr="00DA3789" w:rsidRDefault="00090212" w:rsidP="006F2606">
            <w:pPr>
              <w:autoSpaceDE w:val="0"/>
              <w:autoSpaceDN w:val="0"/>
              <w:adjustRightInd w:val="0"/>
              <w:spacing w:line="360" w:lineRule="auto"/>
              <w:jc w:val="right"/>
              <w:rPr>
                <w:color w:val="000000"/>
              </w:rPr>
            </w:pPr>
            <w:r w:rsidRPr="00DA3789">
              <w:rPr>
                <w:color w:val="000000"/>
              </w:rPr>
              <w:t>2012</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297</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479</w:t>
            </w:r>
          </w:p>
        </w:tc>
        <w:tc>
          <w:tcPr>
            <w:tcW w:w="1247" w:type="dxa"/>
          </w:tcPr>
          <w:p w:rsidR="00090212" w:rsidRPr="00DA3789" w:rsidRDefault="00090212" w:rsidP="006F2606">
            <w:pPr>
              <w:autoSpaceDE w:val="0"/>
              <w:autoSpaceDN w:val="0"/>
              <w:adjustRightInd w:val="0"/>
              <w:spacing w:line="360" w:lineRule="auto"/>
              <w:jc w:val="center"/>
              <w:rPr>
                <w:color w:val="000000"/>
              </w:rPr>
            </w:pPr>
            <w:r w:rsidRPr="00DA3789">
              <w:rPr>
                <w:color w:val="000000"/>
              </w:rPr>
              <w:t>Нет данных</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194</w:t>
            </w:r>
          </w:p>
        </w:tc>
        <w:tc>
          <w:tcPr>
            <w:tcW w:w="1247" w:type="dxa"/>
          </w:tcPr>
          <w:p w:rsidR="00090212" w:rsidRPr="00DA3789" w:rsidRDefault="00090212" w:rsidP="006F2606">
            <w:pPr>
              <w:autoSpaceDE w:val="0"/>
              <w:autoSpaceDN w:val="0"/>
              <w:adjustRightInd w:val="0"/>
              <w:spacing w:line="360" w:lineRule="auto"/>
              <w:jc w:val="center"/>
              <w:rPr>
                <w:color w:val="000000"/>
              </w:rPr>
            </w:pPr>
            <w:r w:rsidRPr="00DA3789">
              <w:rPr>
                <w:color w:val="000000"/>
              </w:rPr>
              <w:t>Нет данных</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124</w:t>
            </w:r>
          </w:p>
        </w:tc>
        <w:tc>
          <w:tcPr>
            <w:tcW w:w="1248" w:type="dxa"/>
          </w:tcPr>
          <w:p w:rsidR="00090212" w:rsidRPr="00DA3789" w:rsidRDefault="007F2B9E" w:rsidP="006F2606">
            <w:pPr>
              <w:autoSpaceDE w:val="0"/>
              <w:autoSpaceDN w:val="0"/>
              <w:adjustRightInd w:val="0"/>
              <w:spacing w:line="360" w:lineRule="auto"/>
              <w:jc w:val="center"/>
              <w:rPr>
                <w:b/>
                <w:color w:val="000000"/>
              </w:rPr>
            </w:pPr>
            <w:r w:rsidRPr="00DA3789">
              <w:rPr>
                <w:b/>
                <w:color w:val="000000"/>
              </w:rPr>
              <w:t>1094</w:t>
            </w:r>
          </w:p>
        </w:tc>
      </w:tr>
      <w:tr w:rsidR="00090212" w:rsidRPr="00DA3789" w:rsidTr="002A241F">
        <w:trPr>
          <w:trHeight w:val="290"/>
          <w:jc w:val="center"/>
        </w:trPr>
        <w:tc>
          <w:tcPr>
            <w:tcW w:w="631" w:type="dxa"/>
          </w:tcPr>
          <w:p w:rsidR="00090212" w:rsidRPr="00DA3789" w:rsidRDefault="00090212" w:rsidP="006F2606">
            <w:pPr>
              <w:autoSpaceDE w:val="0"/>
              <w:autoSpaceDN w:val="0"/>
              <w:adjustRightInd w:val="0"/>
              <w:spacing w:line="360" w:lineRule="auto"/>
              <w:jc w:val="right"/>
              <w:rPr>
                <w:color w:val="000000"/>
              </w:rPr>
            </w:pPr>
            <w:r w:rsidRPr="00DA3789">
              <w:rPr>
                <w:color w:val="000000"/>
              </w:rPr>
              <w:t>2013</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293</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485</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223</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137</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59</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109</w:t>
            </w:r>
          </w:p>
        </w:tc>
        <w:tc>
          <w:tcPr>
            <w:tcW w:w="1248" w:type="dxa"/>
          </w:tcPr>
          <w:p w:rsidR="00090212" w:rsidRPr="00DA3789" w:rsidRDefault="007F2B9E" w:rsidP="006F2606">
            <w:pPr>
              <w:autoSpaceDE w:val="0"/>
              <w:autoSpaceDN w:val="0"/>
              <w:adjustRightInd w:val="0"/>
              <w:spacing w:line="360" w:lineRule="auto"/>
              <w:jc w:val="center"/>
              <w:rPr>
                <w:b/>
                <w:color w:val="000000"/>
              </w:rPr>
            </w:pPr>
            <w:r w:rsidRPr="00DA3789">
              <w:rPr>
                <w:b/>
                <w:color w:val="000000"/>
              </w:rPr>
              <w:t>1306</w:t>
            </w:r>
          </w:p>
        </w:tc>
      </w:tr>
      <w:tr w:rsidR="00090212" w:rsidRPr="00DA3789" w:rsidTr="002A241F">
        <w:trPr>
          <w:trHeight w:val="290"/>
          <w:jc w:val="center"/>
        </w:trPr>
        <w:tc>
          <w:tcPr>
            <w:tcW w:w="631" w:type="dxa"/>
          </w:tcPr>
          <w:p w:rsidR="00090212" w:rsidRPr="00DA3789" w:rsidRDefault="00090212" w:rsidP="006F2606">
            <w:pPr>
              <w:autoSpaceDE w:val="0"/>
              <w:autoSpaceDN w:val="0"/>
              <w:adjustRightInd w:val="0"/>
              <w:spacing w:line="360" w:lineRule="auto"/>
              <w:jc w:val="right"/>
              <w:rPr>
                <w:color w:val="000000"/>
              </w:rPr>
            </w:pPr>
            <w:r w:rsidRPr="00DA3789">
              <w:rPr>
                <w:color w:val="000000"/>
              </w:rPr>
              <w:t>2014</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256</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446</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263</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96</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77</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116</w:t>
            </w:r>
          </w:p>
        </w:tc>
        <w:tc>
          <w:tcPr>
            <w:tcW w:w="1248" w:type="dxa"/>
          </w:tcPr>
          <w:p w:rsidR="00090212" w:rsidRPr="00DA3789" w:rsidRDefault="007F2B9E" w:rsidP="006F2606">
            <w:pPr>
              <w:autoSpaceDE w:val="0"/>
              <w:autoSpaceDN w:val="0"/>
              <w:adjustRightInd w:val="0"/>
              <w:spacing w:line="360" w:lineRule="auto"/>
              <w:jc w:val="center"/>
              <w:rPr>
                <w:b/>
                <w:color w:val="000000"/>
              </w:rPr>
            </w:pPr>
            <w:r w:rsidRPr="00DA3789">
              <w:rPr>
                <w:b/>
                <w:color w:val="000000"/>
              </w:rPr>
              <w:t>1254</w:t>
            </w:r>
          </w:p>
        </w:tc>
      </w:tr>
      <w:tr w:rsidR="00090212" w:rsidRPr="00DA3789" w:rsidTr="002A241F">
        <w:trPr>
          <w:trHeight w:val="290"/>
          <w:jc w:val="center"/>
        </w:trPr>
        <w:tc>
          <w:tcPr>
            <w:tcW w:w="631" w:type="dxa"/>
          </w:tcPr>
          <w:p w:rsidR="00090212" w:rsidRPr="00DA3789" w:rsidRDefault="00090212" w:rsidP="006F2606">
            <w:pPr>
              <w:autoSpaceDE w:val="0"/>
              <w:autoSpaceDN w:val="0"/>
              <w:adjustRightInd w:val="0"/>
              <w:spacing w:line="360" w:lineRule="auto"/>
              <w:jc w:val="right"/>
              <w:rPr>
                <w:color w:val="000000"/>
              </w:rPr>
            </w:pPr>
            <w:r w:rsidRPr="00DA3789">
              <w:rPr>
                <w:color w:val="000000"/>
              </w:rPr>
              <w:t>2015</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206</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516</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398</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96</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80</w:t>
            </w:r>
          </w:p>
        </w:tc>
        <w:tc>
          <w:tcPr>
            <w:tcW w:w="1247" w:type="dxa"/>
          </w:tcPr>
          <w:p w:rsidR="00090212" w:rsidRPr="00DA3789" w:rsidRDefault="00090212" w:rsidP="006F2606">
            <w:pPr>
              <w:autoSpaceDE w:val="0"/>
              <w:autoSpaceDN w:val="0"/>
              <w:adjustRightInd w:val="0"/>
              <w:spacing w:line="360" w:lineRule="auto"/>
              <w:jc w:val="center"/>
              <w:rPr>
                <w:b/>
                <w:color w:val="000000"/>
              </w:rPr>
            </w:pPr>
            <w:r w:rsidRPr="00DA3789">
              <w:rPr>
                <w:b/>
                <w:color w:val="000000"/>
              </w:rPr>
              <w:t>102</w:t>
            </w:r>
          </w:p>
        </w:tc>
        <w:tc>
          <w:tcPr>
            <w:tcW w:w="1248" w:type="dxa"/>
          </w:tcPr>
          <w:p w:rsidR="00090212" w:rsidRPr="00DA3789" w:rsidRDefault="007F2B9E" w:rsidP="006F2606">
            <w:pPr>
              <w:autoSpaceDE w:val="0"/>
              <w:autoSpaceDN w:val="0"/>
              <w:adjustRightInd w:val="0"/>
              <w:spacing w:line="360" w:lineRule="auto"/>
              <w:jc w:val="center"/>
              <w:rPr>
                <w:b/>
                <w:color w:val="000000"/>
              </w:rPr>
            </w:pPr>
            <w:r w:rsidRPr="00DA3789">
              <w:rPr>
                <w:b/>
                <w:color w:val="000000"/>
              </w:rPr>
              <w:t>1398</w:t>
            </w:r>
          </w:p>
        </w:tc>
      </w:tr>
    </w:tbl>
    <w:p w:rsidR="00796E61" w:rsidRPr="00DA3789" w:rsidRDefault="00796E61" w:rsidP="006F2606">
      <w:pPr>
        <w:spacing w:line="360" w:lineRule="auto"/>
        <w:jc w:val="both"/>
        <w:rPr>
          <w:b/>
          <w:spacing w:val="20"/>
        </w:rPr>
      </w:pPr>
    </w:p>
    <w:p w:rsidR="001377E3" w:rsidRPr="00DA3789" w:rsidRDefault="003A5726" w:rsidP="006F2606">
      <w:pPr>
        <w:spacing w:line="360" w:lineRule="auto"/>
        <w:jc w:val="both"/>
      </w:pPr>
      <w:r w:rsidRPr="00DA3789">
        <w:t>Деятельность стационаров ЛПУ ЯНАО по урологической патологии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3"/>
        <w:gridCol w:w="1010"/>
        <w:gridCol w:w="1010"/>
        <w:gridCol w:w="1010"/>
        <w:gridCol w:w="1010"/>
        <w:gridCol w:w="1010"/>
        <w:gridCol w:w="1010"/>
      </w:tblGrid>
      <w:tr w:rsidR="00EA736F" w:rsidRPr="00DA3789" w:rsidTr="00EA736F">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 xml:space="preserve">                     Год</w:t>
            </w:r>
          </w:p>
        </w:tc>
        <w:tc>
          <w:tcPr>
            <w:tcW w:w="2020" w:type="dxa"/>
            <w:gridSpan w:val="2"/>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2013</w:t>
            </w:r>
          </w:p>
        </w:tc>
        <w:tc>
          <w:tcPr>
            <w:tcW w:w="2020" w:type="dxa"/>
            <w:gridSpan w:val="2"/>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2014</w:t>
            </w:r>
          </w:p>
        </w:tc>
        <w:tc>
          <w:tcPr>
            <w:tcW w:w="2020" w:type="dxa"/>
            <w:gridSpan w:val="2"/>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2015</w:t>
            </w:r>
          </w:p>
        </w:tc>
      </w:tr>
      <w:tr w:rsidR="00EA736F" w:rsidRPr="00DA3789" w:rsidTr="00EA736F">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rsidR="00EA736F" w:rsidRPr="00DA3789" w:rsidRDefault="00EA736F" w:rsidP="006F2606">
            <w:pPr>
              <w:spacing w:line="360" w:lineRule="auto"/>
            </w:pP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Койко-дни</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Койко-дни</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Выписано</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Койко-дни</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Выписано</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Койко-дни</w:t>
            </w:r>
          </w:p>
        </w:tc>
      </w:tr>
      <w:tr w:rsidR="00EA736F" w:rsidRPr="00DA3789" w:rsidTr="00EA736F">
        <w:tc>
          <w:tcPr>
            <w:tcW w:w="993" w:type="dxa"/>
            <w:vMerge w:val="restart"/>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Пациенты</w:t>
            </w:r>
          </w:p>
        </w:tc>
        <w:tc>
          <w:tcPr>
            <w:tcW w:w="1843"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Всего с патологией МПС</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9832</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80560</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9131</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73146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8807</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tcPr>
          <w:p w:rsidR="00EA736F" w:rsidRPr="00DA3789" w:rsidRDefault="00EA736F" w:rsidP="006F2606">
            <w:pPr>
              <w:spacing w:line="360" w:lineRule="auto"/>
              <w:jc w:val="center"/>
            </w:pPr>
            <w:r w:rsidRPr="00DA3789">
              <w:t>68972</w:t>
            </w:r>
          </w:p>
          <w:p w:rsidR="00EA736F" w:rsidRPr="00DA3789" w:rsidRDefault="00EA736F" w:rsidP="006F2606">
            <w:pPr>
              <w:spacing w:line="360" w:lineRule="auto"/>
              <w:jc w:val="center"/>
            </w:pPr>
          </w:p>
        </w:tc>
      </w:tr>
      <w:tr w:rsidR="00EA736F" w:rsidRPr="00DA3789" w:rsidTr="00EA736F">
        <w:tc>
          <w:tcPr>
            <w:tcW w:w="2836" w:type="dxa"/>
            <w:vMerge/>
            <w:tcBorders>
              <w:top w:val="single" w:sz="4" w:space="0" w:color="auto"/>
              <w:left w:val="single" w:sz="4" w:space="0" w:color="auto"/>
              <w:bottom w:val="single" w:sz="4" w:space="0" w:color="auto"/>
              <w:right w:val="single" w:sz="4" w:space="0" w:color="auto"/>
            </w:tcBorders>
            <w:vAlign w:val="center"/>
            <w:hideMark/>
          </w:tcPr>
          <w:p w:rsidR="00EA736F" w:rsidRPr="00DA3789" w:rsidRDefault="00EA736F" w:rsidP="006F2606">
            <w:pPr>
              <w:spacing w:line="360" w:lineRule="auto"/>
            </w:pPr>
          </w:p>
        </w:tc>
        <w:tc>
          <w:tcPr>
            <w:tcW w:w="1843"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Тубулогломерулярные болезни почек</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1473</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15934</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1341</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13977</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1360</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14306</w:t>
            </w:r>
          </w:p>
        </w:tc>
      </w:tr>
      <w:tr w:rsidR="00EA736F" w:rsidRPr="00DA3789" w:rsidTr="00EA736F">
        <w:tc>
          <w:tcPr>
            <w:tcW w:w="2836" w:type="dxa"/>
            <w:vMerge/>
            <w:tcBorders>
              <w:top w:val="single" w:sz="4" w:space="0" w:color="auto"/>
              <w:left w:val="single" w:sz="4" w:space="0" w:color="auto"/>
              <w:bottom w:val="single" w:sz="4" w:space="0" w:color="auto"/>
              <w:right w:val="single" w:sz="4" w:space="0" w:color="auto"/>
            </w:tcBorders>
            <w:vAlign w:val="center"/>
            <w:hideMark/>
          </w:tcPr>
          <w:p w:rsidR="00EA736F" w:rsidRPr="00DA3789" w:rsidRDefault="00EA736F" w:rsidP="006F2606">
            <w:pPr>
              <w:spacing w:line="360" w:lineRule="auto"/>
            </w:pPr>
          </w:p>
        </w:tc>
        <w:tc>
          <w:tcPr>
            <w:tcW w:w="1843"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МКБ</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2000</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16072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1785</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14261</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1844</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14418</w:t>
            </w:r>
          </w:p>
        </w:tc>
      </w:tr>
      <w:tr w:rsidR="00EA736F" w:rsidRPr="00DA3789" w:rsidTr="00EA736F">
        <w:tc>
          <w:tcPr>
            <w:tcW w:w="2836" w:type="dxa"/>
            <w:vMerge/>
            <w:tcBorders>
              <w:top w:val="single" w:sz="4" w:space="0" w:color="auto"/>
              <w:left w:val="single" w:sz="4" w:space="0" w:color="auto"/>
              <w:bottom w:val="single" w:sz="4" w:space="0" w:color="auto"/>
              <w:right w:val="single" w:sz="4" w:space="0" w:color="auto"/>
            </w:tcBorders>
            <w:vAlign w:val="center"/>
            <w:hideMark/>
          </w:tcPr>
          <w:p w:rsidR="00EA736F" w:rsidRPr="00DA3789" w:rsidRDefault="00EA736F" w:rsidP="006F2606">
            <w:pPr>
              <w:spacing w:line="360" w:lineRule="auto"/>
            </w:pPr>
          </w:p>
        </w:tc>
        <w:tc>
          <w:tcPr>
            <w:tcW w:w="1843"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Патология простаты</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367</w:t>
            </w:r>
          </w:p>
        </w:tc>
        <w:tc>
          <w:tcPr>
            <w:tcW w:w="1010"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3812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371</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3816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435</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4280</w:t>
            </w:r>
          </w:p>
        </w:tc>
      </w:tr>
      <w:tr w:rsidR="00EA736F" w:rsidRPr="00DA3789" w:rsidTr="00EA736F">
        <w:tc>
          <w:tcPr>
            <w:tcW w:w="2836" w:type="dxa"/>
            <w:vMerge/>
            <w:tcBorders>
              <w:top w:val="single" w:sz="4" w:space="0" w:color="auto"/>
              <w:left w:val="single" w:sz="4" w:space="0" w:color="auto"/>
              <w:bottom w:val="single" w:sz="4" w:space="0" w:color="auto"/>
              <w:right w:val="single" w:sz="4" w:space="0" w:color="auto"/>
            </w:tcBorders>
            <w:vAlign w:val="center"/>
            <w:hideMark/>
          </w:tcPr>
          <w:p w:rsidR="00EA736F" w:rsidRPr="00DA3789" w:rsidRDefault="00EA736F" w:rsidP="006F2606">
            <w:pPr>
              <w:spacing w:line="360" w:lineRule="auto"/>
            </w:pPr>
          </w:p>
        </w:tc>
        <w:tc>
          <w:tcPr>
            <w:tcW w:w="1843"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Умерло пациентов</w:t>
            </w:r>
          </w:p>
        </w:tc>
        <w:tc>
          <w:tcPr>
            <w:tcW w:w="2020" w:type="dxa"/>
            <w:gridSpan w:val="2"/>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7</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10</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11</w:t>
            </w:r>
          </w:p>
        </w:tc>
      </w:tr>
      <w:tr w:rsidR="00EA736F" w:rsidRPr="00DA3789" w:rsidTr="00EA736F">
        <w:tc>
          <w:tcPr>
            <w:tcW w:w="993" w:type="dxa"/>
            <w:vMerge w:val="restart"/>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Операции</w:t>
            </w:r>
          </w:p>
        </w:tc>
        <w:tc>
          <w:tcPr>
            <w:tcW w:w="1843"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На почках и мочеточниках (из них оперировано детей)</w:t>
            </w:r>
          </w:p>
        </w:tc>
        <w:tc>
          <w:tcPr>
            <w:tcW w:w="2020" w:type="dxa"/>
            <w:gridSpan w:val="2"/>
            <w:tcBorders>
              <w:top w:val="single" w:sz="4" w:space="0" w:color="auto"/>
              <w:left w:val="single" w:sz="4" w:space="0" w:color="auto"/>
              <w:bottom w:val="single" w:sz="4" w:space="0" w:color="auto"/>
              <w:right w:val="single" w:sz="4" w:space="0" w:color="auto"/>
            </w:tcBorders>
          </w:tcPr>
          <w:p w:rsidR="00EA736F" w:rsidRPr="00DA3789" w:rsidRDefault="00EA736F" w:rsidP="006F2606">
            <w:pPr>
              <w:spacing w:line="360" w:lineRule="auto"/>
              <w:jc w:val="center"/>
            </w:pPr>
          </w:p>
          <w:p w:rsidR="00EA736F" w:rsidRPr="00DA3789" w:rsidRDefault="00EA736F" w:rsidP="006F2606">
            <w:pPr>
              <w:spacing w:line="360" w:lineRule="auto"/>
              <w:jc w:val="center"/>
            </w:pPr>
            <w:r w:rsidRPr="00DA3789">
              <w:t>674 (70)</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736F" w:rsidRPr="00DA3789" w:rsidRDefault="00EA736F" w:rsidP="006F2606">
            <w:pPr>
              <w:spacing w:line="360" w:lineRule="auto"/>
              <w:jc w:val="center"/>
            </w:pPr>
          </w:p>
          <w:p w:rsidR="00EA736F" w:rsidRPr="00DA3789" w:rsidRDefault="00EA736F" w:rsidP="006F2606">
            <w:pPr>
              <w:spacing w:line="360" w:lineRule="auto"/>
              <w:jc w:val="center"/>
            </w:pPr>
            <w:r w:rsidRPr="00DA3789">
              <w:t>643 (63)</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736F" w:rsidRPr="00DA3789" w:rsidRDefault="00EA736F" w:rsidP="006F2606">
            <w:pPr>
              <w:spacing w:line="360" w:lineRule="auto"/>
              <w:jc w:val="center"/>
            </w:pPr>
          </w:p>
          <w:p w:rsidR="00EA736F" w:rsidRPr="00DA3789" w:rsidRDefault="00EA736F" w:rsidP="006F2606">
            <w:pPr>
              <w:spacing w:line="360" w:lineRule="auto"/>
              <w:jc w:val="center"/>
            </w:pPr>
            <w:r w:rsidRPr="00DA3789">
              <w:t>953 (42)</w:t>
            </w:r>
          </w:p>
        </w:tc>
      </w:tr>
      <w:tr w:rsidR="00EA736F" w:rsidRPr="00DA3789" w:rsidTr="00EA736F">
        <w:tc>
          <w:tcPr>
            <w:tcW w:w="2836" w:type="dxa"/>
            <w:vMerge/>
            <w:tcBorders>
              <w:top w:val="single" w:sz="4" w:space="0" w:color="auto"/>
              <w:left w:val="single" w:sz="4" w:space="0" w:color="auto"/>
              <w:bottom w:val="single" w:sz="4" w:space="0" w:color="auto"/>
              <w:right w:val="single" w:sz="4" w:space="0" w:color="auto"/>
            </w:tcBorders>
            <w:vAlign w:val="center"/>
            <w:hideMark/>
          </w:tcPr>
          <w:p w:rsidR="00EA736F" w:rsidRPr="00DA3789" w:rsidRDefault="00EA736F" w:rsidP="006F2606">
            <w:pPr>
              <w:spacing w:line="360" w:lineRule="auto"/>
            </w:pPr>
          </w:p>
        </w:tc>
        <w:tc>
          <w:tcPr>
            <w:tcW w:w="1843"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На мужских половых органах</w:t>
            </w:r>
          </w:p>
        </w:tc>
        <w:tc>
          <w:tcPr>
            <w:tcW w:w="2020" w:type="dxa"/>
            <w:gridSpan w:val="2"/>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519 (248)</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552 (267)</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tabs>
                <w:tab w:val="left" w:pos="687"/>
                <w:tab w:val="center" w:pos="902"/>
              </w:tabs>
              <w:spacing w:line="360" w:lineRule="auto"/>
              <w:jc w:val="both"/>
            </w:pPr>
            <w:r w:rsidRPr="00DA3789">
              <w:tab/>
            </w:r>
            <w:r w:rsidRPr="00DA3789">
              <w:tab/>
              <w:t>595 (305)</w:t>
            </w:r>
          </w:p>
        </w:tc>
      </w:tr>
      <w:tr w:rsidR="00EA736F" w:rsidRPr="00DA3789" w:rsidTr="00EA736F">
        <w:tc>
          <w:tcPr>
            <w:tcW w:w="2836" w:type="dxa"/>
            <w:vMerge/>
            <w:tcBorders>
              <w:top w:val="single" w:sz="4" w:space="0" w:color="auto"/>
              <w:left w:val="single" w:sz="4" w:space="0" w:color="auto"/>
              <w:bottom w:val="single" w:sz="4" w:space="0" w:color="auto"/>
              <w:right w:val="single" w:sz="4" w:space="0" w:color="auto"/>
            </w:tcBorders>
            <w:vAlign w:val="center"/>
            <w:hideMark/>
          </w:tcPr>
          <w:p w:rsidR="00EA736F" w:rsidRPr="00DA3789" w:rsidRDefault="00EA736F" w:rsidP="006F2606">
            <w:pPr>
              <w:spacing w:line="360" w:lineRule="auto"/>
            </w:pPr>
          </w:p>
        </w:tc>
        <w:tc>
          <w:tcPr>
            <w:tcW w:w="1843"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На простате</w:t>
            </w:r>
          </w:p>
        </w:tc>
        <w:tc>
          <w:tcPr>
            <w:tcW w:w="2020" w:type="dxa"/>
            <w:gridSpan w:val="2"/>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74 (1)</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86</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86</w:t>
            </w:r>
          </w:p>
        </w:tc>
      </w:tr>
      <w:tr w:rsidR="00EA736F" w:rsidRPr="00DA3789" w:rsidTr="00EA736F">
        <w:tc>
          <w:tcPr>
            <w:tcW w:w="2836" w:type="dxa"/>
            <w:vMerge/>
            <w:tcBorders>
              <w:top w:val="single" w:sz="4" w:space="0" w:color="auto"/>
              <w:left w:val="single" w:sz="4" w:space="0" w:color="auto"/>
              <w:bottom w:val="single" w:sz="4" w:space="0" w:color="auto"/>
              <w:right w:val="single" w:sz="4" w:space="0" w:color="auto"/>
            </w:tcBorders>
            <w:vAlign w:val="center"/>
            <w:hideMark/>
          </w:tcPr>
          <w:p w:rsidR="00EA736F" w:rsidRPr="00DA3789" w:rsidRDefault="00EA736F" w:rsidP="006F2606">
            <w:pPr>
              <w:spacing w:line="360" w:lineRule="auto"/>
            </w:pPr>
          </w:p>
        </w:tc>
        <w:tc>
          <w:tcPr>
            <w:tcW w:w="1843" w:type="dxa"/>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both"/>
            </w:pPr>
            <w:r w:rsidRPr="00DA3789">
              <w:t>Умерло пациентов после операции</w:t>
            </w:r>
          </w:p>
        </w:tc>
        <w:tc>
          <w:tcPr>
            <w:tcW w:w="2020" w:type="dxa"/>
            <w:gridSpan w:val="2"/>
            <w:tcBorders>
              <w:top w:val="single" w:sz="4" w:space="0" w:color="auto"/>
              <w:left w:val="single" w:sz="4" w:space="0" w:color="auto"/>
              <w:bottom w:val="single" w:sz="4" w:space="0" w:color="auto"/>
              <w:right w:val="single" w:sz="4" w:space="0" w:color="auto"/>
            </w:tcBorders>
            <w:hideMark/>
          </w:tcPr>
          <w:p w:rsidR="00EA736F" w:rsidRPr="00DA3789" w:rsidRDefault="00EA736F" w:rsidP="006F2606">
            <w:pPr>
              <w:spacing w:line="360" w:lineRule="auto"/>
              <w:jc w:val="center"/>
            </w:pPr>
            <w:r w:rsidRPr="00DA3789">
              <w:t>0</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0</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F" w:rsidRPr="00DA3789" w:rsidRDefault="00EA736F" w:rsidP="006F2606">
            <w:pPr>
              <w:spacing w:line="360" w:lineRule="auto"/>
              <w:jc w:val="center"/>
            </w:pPr>
            <w:r w:rsidRPr="00DA3789">
              <w:t>4</w:t>
            </w:r>
          </w:p>
        </w:tc>
      </w:tr>
    </w:tbl>
    <w:p w:rsidR="00FF510D" w:rsidRPr="00DA3789" w:rsidRDefault="00FF510D" w:rsidP="006F2606">
      <w:pPr>
        <w:spacing w:line="360" w:lineRule="auto"/>
        <w:jc w:val="both"/>
      </w:pPr>
    </w:p>
    <w:p w:rsidR="00C455E7" w:rsidRPr="00DA3789" w:rsidRDefault="00C455E7" w:rsidP="006F2606">
      <w:pPr>
        <w:spacing w:line="360" w:lineRule="auto"/>
        <w:jc w:val="both"/>
      </w:pPr>
      <w:r w:rsidRPr="00DA3789">
        <w:t xml:space="preserve">Данные по стационарным показателям работы урологических коек </w:t>
      </w:r>
      <w:r w:rsidR="005C7DF0" w:rsidRPr="00DA3789">
        <w:t>в ЯНАО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05"/>
        <w:gridCol w:w="1205"/>
        <w:gridCol w:w="1205"/>
        <w:gridCol w:w="1205"/>
        <w:gridCol w:w="1205"/>
        <w:gridCol w:w="1205"/>
        <w:gridCol w:w="1205"/>
      </w:tblGrid>
      <w:tr w:rsidR="00C455E7" w:rsidRPr="00DA3789" w:rsidTr="00814FDD">
        <w:trPr>
          <w:trHeight w:val="414"/>
        </w:trPr>
        <w:tc>
          <w:tcPr>
            <w:tcW w:w="675" w:type="dxa"/>
            <w:vMerge w:val="restart"/>
          </w:tcPr>
          <w:p w:rsidR="00C455E7" w:rsidRPr="00DA3789" w:rsidRDefault="00C455E7" w:rsidP="006F2606">
            <w:pPr>
              <w:spacing w:line="360" w:lineRule="auto"/>
            </w:pPr>
          </w:p>
          <w:p w:rsidR="00C455E7" w:rsidRPr="00DA3789" w:rsidRDefault="00C455E7" w:rsidP="006F2606">
            <w:pPr>
              <w:spacing w:line="360" w:lineRule="auto"/>
            </w:pPr>
            <w:r w:rsidRPr="00DA3789">
              <w:t>Год</w:t>
            </w:r>
          </w:p>
        </w:tc>
        <w:tc>
          <w:tcPr>
            <w:tcW w:w="1205" w:type="dxa"/>
            <w:vMerge w:val="restart"/>
          </w:tcPr>
          <w:p w:rsidR="00C455E7" w:rsidRPr="00DA3789" w:rsidRDefault="00C455E7" w:rsidP="006F2606">
            <w:pPr>
              <w:spacing w:line="360" w:lineRule="auto"/>
              <w:jc w:val="center"/>
            </w:pPr>
          </w:p>
          <w:p w:rsidR="00C455E7" w:rsidRPr="00DA3789" w:rsidRDefault="00C455E7" w:rsidP="006F2606">
            <w:pPr>
              <w:spacing w:line="360" w:lineRule="auto"/>
              <w:jc w:val="center"/>
            </w:pPr>
          </w:p>
          <w:p w:rsidR="00C455E7" w:rsidRPr="00DA3789" w:rsidRDefault="00C455E7" w:rsidP="006F2606">
            <w:pPr>
              <w:spacing w:line="360" w:lineRule="auto"/>
              <w:jc w:val="center"/>
            </w:pPr>
            <w:r w:rsidRPr="00DA3789">
              <w:t>Выписано</w:t>
            </w:r>
          </w:p>
        </w:tc>
        <w:tc>
          <w:tcPr>
            <w:tcW w:w="1205" w:type="dxa"/>
            <w:vMerge w:val="restart"/>
          </w:tcPr>
          <w:p w:rsidR="00C455E7" w:rsidRPr="00DA3789" w:rsidRDefault="00C455E7" w:rsidP="006F2606">
            <w:pPr>
              <w:spacing w:line="360" w:lineRule="auto"/>
              <w:jc w:val="center"/>
            </w:pPr>
          </w:p>
          <w:p w:rsidR="00C455E7" w:rsidRPr="00DA3789" w:rsidRDefault="00C455E7" w:rsidP="006F2606">
            <w:pPr>
              <w:spacing w:line="360" w:lineRule="auto"/>
              <w:jc w:val="center"/>
            </w:pPr>
          </w:p>
          <w:p w:rsidR="00C455E7" w:rsidRPr="00DA3789" w:rsidRDefault="00C455E7" w:rsidP="006F2606">
            <w:pPr>
              <w:spacing w:line="360" w:lineRule="auto"/>
              <w:jc w:val="center"/>
            </w:pPr>
            <w:r w:rsidRPr="00DA3789">
              <w:t>Пользованных больных</w:t>
            </w:r>
          </w:p>
        </w:tc>
        <w:tc>
          <w:tcPr>
            <w:tcW w:w="1205" w:type="dxa"/>
            <w:vMerge w:val="restart"/>
          </w:tcPr>
          <w:p w:rsidR="00C455E7" w:rsidRPr="00DA3789" w:rsidRDefault="00C455E7" w:rsidP="006F2606">
            <w:pPr>
              <w:spacing w:line="360" w:lineRule="auto"/>
              <w:jc w:val="center"/>
            </w:pPr>
          </w:p>
          <w:p w:rsidR="00C455E7" w:rsidRPr="00DA3789" w:rsidRDefault="00C455E7" w:rsidP="006F2606">
            <w:pPr>
              <w:spacing w:line="360" w:lineRule="auto"/>
              <w:jc w:val="center"/>
            </w:pPr>
          </w:p>
          <w:p w:rsidR="00C455E7" w:rsidRPr="00DA3789" w:rsidRDefault="00C455E7" w:rsidP="006F2606">
            <w:pPr>
              <w:spacing w:line="360" w:lineRule="auto"/>
              <w:jc w:val="center"/>
            </w:pPr>
            <w:r w:rsidRPr="00DA3789">
              <w:t>Койко-дни всего</w:t>
            </w:r>
          </w:p>
        </w:tc>
        <w:tc>
          <w:tcPr>
            <w:tcW w:w="1205" w:type="dxa"/>
            <w:vMerge w:val="restart"/>
          </w:tcPr>
          <w:p w:rsidR="00C455E7" w:rsidRPr="00DA3789" w:rsidRDefault="00C455E7" w:rsidP="006F2606">
            <w:pPr>
              <w:spacing w:line="360" w:lineRule="auto"/>
              <w:jc w:val="center"/>
            </w:pPr>
          </w:p>
          <w:p w:rsidR="00C455E7" w:rsidRPr="00DA3789" w:rsidRDefault="00C455E7" w:rsidP="006F2606">
            <w:pPr>
              <w:spacing w:line="360" w:lineRule="auto"/>
              <w:jc w:val="center"/>
            </w:pPr>
            <w:r w:rsidRPr="00DA3789">
              <w:t>Госпитализация на 1000 населения</w:t>
            </w:r>
          </w:p>
        </w:tc>
        <w:tc>
          <w:tcPr>
            <w:tcW w:w="1205" w:type="dxa"/>
            <w:vMerge w:val="restart"/>
          </w:tcPr>
          <w:p w:rsidR="00C455E7" w:rsidRPr="00DA3789" w:rsidRDefault="00C455E7" w:rsidP="006F2606">
            <w:pPr>
              <w:spacing w:line="360" w:lineRule="auto"/>
              <w:jc w:val="center"/>
            </w:pPr>
          </w:p>
          <w:p w:rsidR="00C455E7" w:rsidRPr="00DA3789" w:rsidRDefault="00C455E7" w:rsidP="006F2606">
            <w:pPr>
              <w:spacing w:line="360" w:lineRule="auto"/>
              <w:jc w:val="center"/>
            </w:pPr>
            <w:r w:rsidRPr="00DA3789">
              <w:t>Работа койки в году</w:t>
            </w:r>
          </w:p>
        </w:tc>
        <w:tc>
          <w:tcPr>
            <w:tcW w:w="1205" w:type="dxa"/>
            <w:vMerge w:val="restart"/>
          </w:tcPr>
          <w:p w:rsidR="00C455E7" w:rsidRPr="00DA3789" w:rsidRDefault="00C455E7" w:rsidP="006F2606">
            <w:pPr>
              <w:spacing w:line="360" w:lineRule="auto"/>
              <w:jc w:val="center"/>
            </w:pPr>
          </w:p>
          <w:p w:rsidR="00C455E7" w:rsidRPr="00DA3789" w:rsidRDefault="00C455E7" w:rsidP="006F2606">
            <w:pPr>
              <w:spacing w:line="360" w:lineRule="auto"/>
              <w:jc w:val="center"/>
            </w:pPr>
            <w:r w:rsidRPr="00DA3789">
              <w:t>Оборот койки</w:t>
            </w:r>
          </w:p>
        </w:tc>
        <w:tc>
          <w:tcPr>
            <w:tcW w:w="1205" w:type="dxa"/>
            <w:vMerge w:val="restart"/>
          </w:tcPr>
          <w:p w:rsidR="00C455E7" w:rsidRPr="00DA3789" w:rsidRDefault="00C455E7" w:rsidP="006F2606">
            <w:pPr>
              <w:spacing w:line="360" w:lineRule="auto"/>
              <w:jc w:val="center"/>
            </w:pPr>
          </w:p>
          <w:p w:rsidR="00C455E7" w:rsidRPr="00DA3789" w:rsidRDefault="00C455E7" w:rsidP="006F2606">
            <w:pPr>
              <w:spacing w:line="360" w:lineRule="auto"/>
              <w:jc w:val="center"/>
            </w:pPr>
            <w:r w:rsidRPr="00DA3789">
              <w:t>Средняя  длительность</w:t>
            </w:r>
          </w:p>
          <w:p w:rsidR="00C455E7" w:rsidRPr="00DA3789" w:rsidRDefault="00C455E7" w:rsidP="006F2606">
            <w:pPr>
              <w:spacing w:line="360" w:lineRule="auto"/>
              <w:jc w:val="center"/>
            </w:pPr>
            <w:r w:rsidRPr="00DA3789">
              <w:t>пребывания</w:t>
            </w:r>
          </w:p>
        </w:tc>
      </w:tr>
      <w:tr w:rsidR="00C455E7" w:rsidRPr="00DA3789" w:rsidTr="00814FDD">
        <w:trPr>
          <w:trHeight w:val="414"/>
        </w:trPr>
        <w:tc>
          <w:tcPr>
            <w:tcW w:w="675" w:type="dxa"/>
            <w:vMerge/>
          </w:tcPr>
          <w:p w:rsidR="00C455E7" w:rsidRPr="00DA3789" w:rsidRDefault="00C455E7" w:rsidP="006F2606">
            <w:pPr>
              <w:spacing w:line="360" w:lineRule="auto"/>
            </w:pPr>
          </w:p>
        </w:tc>
        <w:tc>
          <w:tcPr>
            <w:tcW w:w="1205" w:type="dxa"/>
            <w:vMerge/>
          </w:tcPr>
          <w:p w:rsidR="00C455E7" w:rsidRPr="00DA3789" w:rsidRDefault="00C455E7" w:rsidP="006F2606">
            <w:pPr>
              <w:spacing w:line="360" w:lineRule="auto"/>
            </w:pPr>
          </w:p>
        </w:tc>
        <w:tc>
          <w:tcPr>
            <w:tcW w:w="1205" w:type="dxa"/>
            <w:vMerge/>
          </w:tcPr>
          <w:p w:rsidR="00C455E7" w:rsidRPr="00DA3789" w:rsidRDefault="00C455E7" w:rsidP="006F2606">
            <w:pPr>
              <w:spacing w:line="360" w:lineRule="auto"/>
            </w:pPr>
          </w:p>
        </w:tc>
        <w:tc>
          <w:tcPr>
            <w:tcW w:w="1205" w:type="dxa"/>
            <w:vMerge/>
          </w:tcPr>
          <w:p w:rsidR="00C455E7" w:rsidRPr="00DA3789" w:rsidRDefault="00C455E7" w:rsidP="006F2606">
            <w:pPr>
              <w:spacing w:line="360" w:lineRule="auto"/>
            </w:pPr>
          </w:p>
        </w:tc>
        <w:tc>
          <w:tcPr>
            <w:tcW w:w="1205" w:type="dxa"/>
            <w:vMerge/>
          </w:tcPr>
          <w:p w:rsidR="00C455E7" w:rsidRPr="00DA3789" w:rsidRDefault="00C455E7" w:rsidP="006F2606">
            <w:pPr>
              <w:spacing w:line="360" w:lineRule="auto"/>
            </w:pPr>
          </w:p>
        </w:tc>
        <w:tc>
          <w:tcPr>
            <w:tcW w:w="1205" w:type="dxa"/>
            <w:vMerge/>
          </w:tcPr>
          <w:p w:rsidR="00C455E7" w:rsidRPr="00DA3789" w:rsidRDefault="00C455E7" w:rsidP="006F2606">
            <w:pPr>
              <w:spacing w:line="360" w:lineRule="auto"/>
            </w:pPr>
          </w:p>
        </w:tc>
        <w:tc>
          <w:tcPr>
            <w:tcW w:w="1205" w:type="dxa"/>
            <w:vMerge/>
          </w:tcPr>
          <w:p w:rsidR="00C455E7" w:rsidRPr="00DA3789" w:rsidRDefault="00C455E7" w:rsidP="006F2606">
            <w:pPr>
              <w:spacing w:line="360" w:lineRule="auto"/>
            </w:pPr>
          </w:p>
        </w:tc>
        <w:tc>
          <w:tcPr>
            <w:tcW w:w="1205" w:type="dxa"/>
            <w:vMerge/>
          </w:tcPr>
          <w:p w:rsidR="00C455E7" w:rsidRPr="00DA3789" w:rsidRDefault="00C455E7" w:rsidP="006F2606">
            <w:pPr>
              <w:spacing w:line="360" w:lineRule="auto"/>
            </w:pPr>
          </w:p>
        </w:tc>
      </w:tr>
      <w:tr w:rsidR="00C455E7" w:rsidRPr="00DA3789" w:rsidTr="00814FDD">
        <w:tc>
          <w:tcPr>
            <w:tcW w:w="675" w:type="dxa"/>
          </w:tcPr>
          <w:p w:rsidR="00C455E7" w:rsidRPr="00DA3789" w:rsidRDefault="00C455E7" w:rsidP="006F2606">
            <w:pPr>
              <w:spacing w:line="360" w:lineRule="auto"/>
            </w:pPr>
            <w:r w:rsidRPr="00DA3789">
              <w:t>2011</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2701</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2679,0</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24560</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0,5</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303</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33,1</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9,2</w:t>
            </w:r>
          </w:p>
        </w:tc>
      </w:tr>
      <w:tr w:rsidR="00C455E7" w:rsidRPr="00DA3789" w:rsidTr="00814FDD">
        <w:tc>
          <w:tcPr>
            <w:tcW w:w="675" w:type="dxa"/>
          </w:tcPr>
          <w:p w:rsidR="00C455E7" w:rsidRPr="00DA3789" w:rsidRDefault="00C455E7" w:rsidP="006F2606">
            <w:pPr>
              <w:spacing w:line="360" w:lineRule="auto"/>
            </w:pPr>
            <w:r w:rsidRPr="00DA3789">
              <w:t>2012</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3104</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3071,0</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26742</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0,56</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315</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36,1</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8,7</w:t>
            </w:r>
          </w:p>
        </w:tc>
      </w:tr>
      <w:tr w:rsidR="00C455E7" w:rsidRPr="00DA3789" w:rsidTr="00814FDD">
        <w:tc>
          <w:tcPr>
            <w:tcW w:w="675" w:type="dxa"/>
          </w:tcPr>
          <w:p w:rsidR="00C455E7" w:rsidRPr="00DA3789" w:rsidRDefault="00C455E7" w:rsidP="006F2606">
            <w:pPr>
              <w:spacing w:line="360" w:lineRule="auto"/>
            </w:pPr>
            <w:r w:rsidRPr="00DA3789">
              <w:t>2013</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3262</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3246,5</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27982</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0,6</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325</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37,8</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8,6</w:t>
            </w:r>
          </w:p>
        </w:tc>
      </w:tr>
      <w:tr w:rsidR="00C455E7" w:rsidRPr="00DA3789" w:rsidTr="00814FDD">
        <w:tc>
          <w:tcPr>
            <w:tcW w:w="675" w:type="dxa"/>
          </w:tcPr>
          <w:p w:rsidR="00C455E7" w:rsidRPr="00DA3789" w:rsidRDefault="00C455E7" w:rsidP="006F2606">
            <w:pPr>
              <w:spacing w:line="360" w:lineRule="auto"/>
            </w:pPr>
            <w:r w:rsidRPr="00DA3789">
              <w:lastRenderedPageBreak/>
              <w:t>2014</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2761</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2745,5</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23238</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0,51</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306</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36,0</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8,5</w:t>
            </w:r>
          </w:p>
        </w:tc>
      </w:tr>
      <w:tr w:rsidR="00C455E7" w:rsidRPr="00DA3789" w:rsidTr="00814FDD">
        <w:tc>
          <w:tcPr>
            <w:tcW w:w="675" w:type="dxa"/>
          </w:tcPr>
          <w:p w:rsidR="00C455E7" w:rsidRPr="00DA3789" w:rsidRDefault="00C455E7" w:rsidP="006F2606">
            <w:pPr>
              <w:spacing w:line="360" w:lineRule="auto"/>
            </w:pPr>
            <w:r w:rsidRPr="00DA3789">
              <w:t>2015</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3217</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3198,5</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27279</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0,79</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325</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38,1</w:t>
            </w:r>
          </w:p>
        </w:tc>
        <w:tc>
          <w:tcPr>
            <w:tcW w:w="1205" w:type="dxa"/>
          </w:tcPr>
          <w:p w:rsidR="00C455E7" w:rsidRPr="00DA3789" w:rsidRDefault="00C455E7" w:rsidP="006F2606">
            <w:pPr>
              <w:pStyle w:val="a7"/>
              <w:spacing w:before="0" w:beforeAutospacing="0" w:after="0" w:afterAutospacing="0" w:line="360" w:lineRule="auto"/>
              <w:jc w:val="center"/>
              <w:textAlignment w:val="baseline"/>
              <w:rPr>
                <w:bCs/>
                <w:color w:val="000000"/>
                <w:kern w:val="24"/>
              </w:rPr>
            </w:pPr>
            <w:r w:rsidRPr="00DA3789">
              <w:rPr>
                <w:bCs/>
                <w:color w:val="000000"/>
                <w:kern w:val="24"/>
              </w:rPr>
              <w:t>8,5</w:t>
            </w:r>
          </w:p>
        </w:tc>
      </w:tr>
    </w:tbl>
    <w:p w:rsidR="00C455E7" w:rsidRPr="00DA3789" w:rsidRDefault="00C455E7" w:rsidP="006F2606">
      <w:pPr>
        <w:spacing w:line="360" w:lineRule="auto"/>
        <w:jc w:val="both"/>
      </w:pPr>
    </w:p>
    <w:p w:rsidR="00EA736F" w:rsidRPr="00DA3789" w:rsidRDefault="00956E96" w:rsidP="006F2606">
      <w:pPr>
        <w:spacing w:line="360" w:lineRule="auto"/>
        <w:jc w:val="both"/>
      </w:pPr>
      <w:r w:rsidRPr="00DA3789">
        <w:t>Число ТУР при ДГПЖ в ЯНАО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992"/>
        <w:gridCol w:w="992"/>
        <w:gridCol w:w="992"/>
        <w:gridCol w:w="993"/>
      </w:tblGrid>
      <w:tr w:rsidR="00956E96" w:rsidRPr="00DA3789" w:rsidTr="00956E96">
        <w:trPr>
          <w:trHeight w:val="300"/>
        </w:trPr>
        <w:tc>
          <w:tcPr>
            <w:tcW w:w="3227" w:type="dxa"/>
            <w:shd w:val="clear" w:color="auto" w:fill="auto"/>
            <w:noWrap/>
            <w:vAlign w:val="bottom"/>
            <w:hideMark/>
          </w:tcPr>
          <w:p w:rsidR="00956E96" w:rsidRPr="00DA3789" w:rsidRDefault="00956E96" w:rsidP="006F2606">
            <w:pPr>
              <w:spacing w:line="360" w:lineRule="auto"/>
              <w:rPr>
                <w:color w:val="000000"/>
              </w:rPr>
            </w:pP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2012</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2013</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2014</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2015</w:t>
            </w:r>
          </w:p>
        </w:tc>
        <w:tc>
          <w:tcPr>
            <w:tcW w:w="993"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2016</w:t>
            </w:r>
          </w:p>
        </w:tc>
      </w:tr>
      <w:tr w:rsidR="00956E96" w:rsidRPr="00DA3789" w:rsidTr="00956E96">
        <w:trPr>
          <w:trHeight w:val="300"/>
        </w:trPr>
        <w:tc>
          <w:tcPr>
            <w:tcW w:w="3227" w:type="dxa"/>
            <w:shd w:val="clear" w:color="auto" w:fill="auto"/>
            <w:noWrap/>
            <w:vAlign w:val="bottom"/>
            <w:hideMark/>
          </w:tcPr>
          <w:p w:rsidR="00956E96" w:rsidRPr="00DA3789" w:rsidRDefault="00956E96" w:rsidP="006F2606">
            <w:pPr>
              <w:spacing w:line="360" w:lineRule="auto"/>
              <w:rPr>
                <w:color w:val="000000"/>
              </w:rPr>
            </w:pPr>
            <w:r w:rsidRPr="00DA3789">
              <w:rPr>
                <w:color w:val="000000"/>
              </w:rPr>
              <w:t>Салехардская ОКБ</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15</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19</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11</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27</w:t>
            </w:r>
          </w:p>
        </w:tc>
        <w:tc>
          <w:tcPr>
            <w:tcW w:w="993"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37</w:t>
            </w:r>
          </w:p>
        </w:tc>
      </w:tr>
      <w:tr w:rsidR="00956E96" w:rsidRPr="00DA3789" w:rsidTr="00956E96">
        <w:trPr>
          <w:trHeight w:val="300"/>
        </w:trPr>
        <w:tc>
          <w:tcPr>
            <w:tcW w:w="3227" w:type="dxa"/>
            <w:shd w:val="clear" w:color="auto" w:fill="auto"/>
            <w:noWrap/>
            <w:vAlign w:val="bottom"/>
            <w:hideMark/>
          </w:tcPr>
          <w:p w:rsidR="00956E96" w:rsidRPr="00DA3789" w:rsidRDefault="00956E96" w:rsidP="006F2606">
            <w:pPr>
              <w:spacing w:line="360" w:lineRule="auto"/>
              <w:rPr>
                <w:color w:val="000000"/>
              </w:rPr>
            </w:pPr>
            <w:r w:rsidRPr="00DA3789">
              <w:rPr>
                <w:color w:val="000000"/>
              </w:rPr>
              <w:t>Ноябрьская ЦГБ</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1</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5</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5</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13</w:t>
            </w:r>
          </w:p>
        </w:tc>
        <w:tc>
          <w:tcPr>
            <w:tcW w:w="993"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12</w:t>
            </w:r>
          </w:p>
        </w:tc>
      </w:tr>
      <w:tr w:rsidR="00956E96" w:rsidRPr="00DA3789" w:rsidTr="00956E96">
        <w:trPr>
          <w:trHeight w:val="300"/>
        </w:trPr>
        <w:tc>
          <w:tcPr>
            <w:tcW w:w="3227" w:type="dxa"/>
            <w:shd w:val="clear" w:color="auto" w:fill="auto"/>
            <w:noWrap/>
            <w:vAlign w:val="bottom"/>
            <w:hideMark/>
          </w:tcPr>
          <w:p w:rsidR="00956E96" w:rsidRPr="00DA3789" w:rsidRDefault="00956E96" w:rsidP="006F2606">
            <w:pPr>
              <w:spacing w:line="360" w:lineRule="auto"/>
              <w:rPr>
                <w:color w:val="000000"/>
              </w:rPr>
            </w:pPr>
            <w:r w:rsidRPr="00DA3789">
              <w:rPr>
                <w:color w:val="000000"/>
              </w:rPr>
              <w:t>Ново-Уренгойская ЦГБ</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3</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3"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r>
      <w:tr w:rsidR="00956E96" w:rsidRPr="00DA3789" w:rsidTr="00956E96">
        <w:trPr>
          <w:trHeight w:val="300"/>
        </w:trPr>
        <w:tc>
          <w:tcPr>
            <w:tcW w:w="3227" w:type="dxa"/>
            <w:shd w:val="clear" w:color="auto" w:fill="auto"/>
            <w:noWrap/>
            <w:vAlign w:val="bottom"/>
            <w:hideMark/>
          </w:tcPr>
          <w:p w:rsidR="00956E96" w:rsidRPr="00DA3789" w:rsidRDefault="00956E96" w:rsidP="006F2606">
            <w:pPr>
              <w:spacing w:line="360" w:lineRule="auto"/>
              <w:rPr>
                <w:color w:val="000000"/>
              </w:rPr>
            </w:pPr>
            <w:r w:rsidRPr="00DA3789">
              <w:rPr>
                <w:color w:val="000000"/>
              </w:rPr>
              <w:t>Надымская ЦРБ</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3"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r>
      <w:tr w:rsidR="00956E96" w:rsidRPr="00DA3789" w:rsidTr="00956E96">
        <w:trPr>
          <w:trHeight w:val="300"/>
        </w:trPr>
        <w:tc>
          <w:tcPr>
            <w:tcW w:w="3227" w:type="dxa"/>
            <w:shd w:val="clear" w:color="auto" w:fill="auto"/>
            <w:noWrap/>
            <w:vAlign w:val="bottom"/>
            <w:hideMark/>
          </w:tcPr>
          <w:p w:rsidR="00956E96" w:rsidRPr="00DA3789" w:rsidRDefault="00956E96" w:rsidP="006F2606">
            <w:pPr>
              <w:spacing w:line="360" w:lineRule="auto"/>
              <w:rPr>
                <w:color w:val="000000"/>
              </w:rPr>
            </w:pPr>
            <w:r w:rsidRPr="00DA3789">
              <w:rPr>
                <w:color w:val="000000"/>
              </w:rPr>
              <w:t>Тарко-Салинская ЦРБ</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3"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r>
      <w:tr w:rsidR="00956E96" w:rsidRPr="00DA3789" w:rsidTr="00956E96">
        <w:trPr>
          <w:trHeight w:val="300"/>
        </w:trPr>
        <w:tc>
          <w:tcPr>
            <w:tcW w:w="3227" w:type="dxa"/>
            <w:shd w:val="clear" w:color="auto" w:fill="auto"/>
            <w:noWrap/>
            <w:vAlign w:val="bottom"/>
            <w:hideMark/>
          </w:tcPr>
          <w:p w:rsidR="00956E96" w:rsidRPr="00DA3789" w:rsidRDefault="00956E96" w:rsidP="006F2606">
            <w:pPr>
              <w:spacing w:line="360" w:lineRule="auto"/>
              <w:rPr>
                <w:color w:val="000000"/>
              </w:rPr>
            </w:pPr>
            <w:r w:rsidRPr="00DA3789">
              <w:rPr>
                <w:color w:val="000000"/>
              </w:rPr>
              <w:t>Губкинская ГБ</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2"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c>
          <w:tcPr>
            <w:tcW w:w="993" w:type="dxa"/>
            <w:shd w:val="clear" w:color="auto" w:fill="auto"/>
            <w:noWrap/>
            <w:vAlign w:val="bottom"/>
            <w:hideMark/>
          </w:tcPr>
          <w:p w:rsidR="00956E96" w:rsidRPr="00DA3789" w:rsidRDefault="00956E96" w:rsidP="006F2606">
            <w:pPr>
              <w:spacing w:line="360" w:lineRule="auto"/>
              <w:jc w:val="center"/>
              <w:rPr>
                <w:color w:val="000000"/>
              </w:rPr>
            </w:pPr>
            <w:r w:rsidRPr="00DA3789">
              <w:rPr>
                <w:color w:val="000000"/>
              </w:rPr>
              <w:t>0</w:t>
            </w:r>
          </w:p>
        </w:tc>
      </w:tr>
    </w:tbl>
    <w:p w:rsidR="00956E96" w:rsidRPr="00DA3789" w:rsidRDefault="00956E96" w:rsidP="006F2606">
      <w:pPr>
        <w:spacing w:line="360" w:lineRule="auto"/>
        <w:jc w:val="both"/>
      </w:pPr>
    </w:p>
    <w:p w:rsidR="00956E96" w:rsidRPr="00DA3789" w:rsidRDefault="00614C64" w:rsidP="006F2606">
      <w:pPr>
        <w:spacing w:line="360" w:lineRule="auto"/>
        <w:jc w:val="both"/>
      </w:pPr>
      <w:r w:rsidRPr="00DA3789">
        <w:t xml:space="preserve">Число нефрэктомий </w:t>
      </w:r>
      <w:r w:rsidR="00956E96" w:rsidRPr="00DA3789">
        <w:t>в ЯНАО</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261"/>
        <w:gridCol w:w="992"/>
        <w:gridCol w:w="992"/>
        <w:gridCol w:w="993"/>
        <w:gridCol w:w="992"/>
        <w:gridCol w:w="992"/>
      </w:tblGrid>
      <w:tr w:rsidR="00956E96" w:rsidRPr="00DA3789" w:rsidTr="00956E96">
        <w:trPr>
          <w:trHeight w:val="290"/>
        </w:trPr>
        <w:tc>
          <w:tcPr>
            <w:tcW w:w="3261" w:type="dxa"/>
          </w:tcPr>
          <w:p w:rsidR="00956E96" w:rsidRPr="00DA3789" w:rsidRDefault="00956E96" w:rsidP="006F2606">
            <w:pPr>
              <w:autoSpaceDE w:val="0"/>
              <w:autoSpaceDN w:val="0"/>
              <w:adjustRightInd w:val="0"/>
              <w:spacing w:line="360" w:lineRule="auto"/>
              <w:rPr>
                <w:rFonts w:eastAsiaTheme="minorHAnsi"/>
                <w:color w:val="000000"/>
                <w:lang w:eastAsia="en-US"/>
              </w:rPr>
            </w:pP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2012</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2013</w:t>
            </w:r>
          </w:p>
        </w:tc>
        <w:tc>
          <w:tcPr>
            <w:tcW w:w="993"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2014</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2015</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2016</w:t>
            </w:r>
          </w:p>
        </w:tc>
      </w:tr>
      <w:tr w:rsidR="00956E96" w:rsidRPr="00DA3789" w:rsidTr="00956E96">
        <w:trPr>
          <w:trHeight w:val="290"/>
        </w:trPr>
        <w:tc>
          <w:tcPr>
            <w:tcW w:w="3261" w:type="dxa"/>
          </w:tcPr>
          <w:p w:rsidR="00956E96" w:rsidRPr="00DA3789" w:rsidRDefault="00956E96" w:rsidP="006F2606">
            <w:pPr>
              <w:autoSpaceDE w:val="0"/>
              <w:autoSpaceDN w:val="0"/>
              <w:adjustRightInd w:val="0"/>
              <w:spacing w:line="360" w:lineRule="auto"/>
              <w:rPr>
                <w:rFonts w:eastAsiaTheme="minorHAnsi"/>
                <w:color w:val="000000"/>
                <w:lang w:eastAsia="en-US"/>
              </w:rPr>
            </w:pPr>
            <w:r w:rsidRPr="00DA3789">
              <w:rPr>
                <w:rFonts w:eastAsiaTheme="minorHAnsi"/>
                <w:color w:val="000000"/>
                <w:lang w:eastAsia="en-US"/>
              </w:rPr>
              <w:t>Салехардская ОКБ</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11</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16</w:t>
            </w:r>
          </w:p>
        </w:tc>
        <w:tc>
          <w:tcPr>
            <w:tcW w:w="993"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11</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11</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15</w:t>
            </w:r>
          </w:p>
        </w:tc>
      </w:tr>
      <w:tr w:rsidR="00956E96" w:rsidRPr="00DA3789" w:rsidTr="00956E96">
        <w:trPr>
          <w:trHeight w:val="290"/>
        </w:trPr>
        <w:tc>
          <w:tcPr>
            <w:tcW w:w="3261" w:type="dxa"/>
          </w:tcPr>
          <w:p w:rsidR="00956E96" w:rsidRPr="00DA3789" w:rsidRDefault="00956E96" w:rsidP="006F2606">
            <w:pPr>
              <w:autoSpaceDE w:val="0"/>
              <w:autoSpaceDN w:val="0"/>
              <w:adjustRightInd w:val="0"/>
              <w:spacing w:line="360" w:lineRule="auto"/>
              <w:rPr>
                <w:rFonts w:eastAsiaTheme="minorHAnsi"/>
                <w:color w:val="000000"/>
                <w:lang w:eastAsia="en-US"/>
              </w:rPr>
            </w:pPr>
            <w:r w:rsidRPr="00DA3789">
              <w:rPr>
                <w:rFonts w:eastAsiaTheme="minorHAnsi"/>
                <w:color w:val="000000"/>
                <w:lang w:eastAsia="en-US"/>
              </w:rPr>
              <w:t>Ноябрьская ЦГБ</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4</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7</w:t>
            </w:r>
          </w:p>
        </w:tc>
        <w:tc>
          <w:tcPr>
            <w:tcW w:w="993"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8</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5</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6</w:t>
            </w:r>
          </w:p>
        </w:tc>
      </w:tr>
      <w:tr w:rsidR="00956E96" w:rsidRPr="00DA3789" w:rsidTr="00956E96">
        <w:trPr>
          <w:trHeight w:val="290"/>
        </w:trPr>
        <w:tc>
          <w:tcPr>
            <w:tcW w:w="3261" w:type="dxa"/>
          </w:tcPr>
          <w:p w:rsidR="00956E96" w:rsidRPr="00DA3789" w:rsidRDefault="00956E96" w:rsidP="006F2606">
            <w:pPr>
              <w:autoSpaceDE w:val="0"/>
              <w:autoSpaceDN w:val="0"/>
              <w:adjustRightInd w:val="0"/>
              <w:spacing w:line="360" w:lineRule="auto"/>
              <w:rPr>
                <w:rFonts w:eastAsiaTheme="minorHAnsi"/>
                <w:color w:val="000000"/>
                <w:lang w:eastAsia="en-US"/>
              </w:rPr>
            </w:pPr>
            <w:r w:rsidRPr="00DA3789">
              <w:rPr>
                <w:rFonts w:eastAsiaTheme="minorHAnsi"/>
                <w:color w:val="000000"/>
                <w:lang w:eastAsia="en-US"/>
              </w:rPr>
              <w:t>Ново-Уренгойская ЦГБ</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3"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1</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2</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2</w:t>
            </w:r>
          </w:p>
        </w:tc>
      </w:tr>
      <w:tr w:rsidR="00956E96" w:rsidRPr="00DA3789" w:rsidTr="00956E96">
        <w:trPr>
          <w:trHeight w:val="290"/>
        </w:trPr>
        <w:tc>
          <w:tcPr>
            <w:tcW w:w="3261" w:type="dxa"/>
          </w:tcPr>
          <w:p w:rsidR="00956E96" w:rsidRPr="00DA3789" w:rsidRDefault="00956E96" w:rsidP="006F2606">
            <w:pPr>
              <w:autoSpaceDE w:val="0"/>
              <w:autoSpaceDN w:val="0"/>
              <w:adjustRightInd w:val="0"/>
              <w:spacing w:line="360" w:lineRule="auto"/>
              <w:rPr>
                <w:rFonts w:eastAsiaTheme="minorHAnsi"/>
                <w:color w:val="000000"/>
                <w:lang w:eastAsia="en-US"/>
              </w:rPr>
            </w:pPr>
            <w:r w:rsidRPr="00DA3789">
              <w:rPr>
                <w:rFonts w:eastAsiaTheme="minorHAnsi"/>
                <w:color w:val="000000"/>
                <w:lang w:eastAsia="en-US"/>
              </w:rPr>
              <w:t>Надымская ЦРБ</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3"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r>
      <w:tr w:rsidR="00956E96" w:rsidRPr="00DA3789" w:rsidTr="00956E96">
        <w:trPr>
          <w:trHeight w:val="290"/>
        </w:trPr>
        <w:tc>
          <w:tcPr>
            <w:tcW w:w="3261" w:type="dxa"/>
          </w:tcPr>
          <w:p w:rsidR="00956E96" w:rsidRPr="00DA3789" w:rsidRDefault="00956E96" w:rsidP="006F2606">
            <w:pPr>
              <w:autoSpaceDE w:val="0"/>
              <w:autoSpaceDN w:val="0"/>
              <w:adjustRightInd w:val="0"/>
              <w:spacing w:line="360" w:lineRule="auto"/>
              <w:rPr>
                <w:rFonts w:eastAsiaTheme="minorHAnsi"/>
                <w:color w:val="000000"/>
                <w:lang w:eastAsia="en-US"/>
              </w:rPr>
            </w:pPr>
            <w:r w:rsidRPr="00DA3789">
              <w:rPr>
                <w:rFonts w:eastAsiaTheme="minorHAnsi"/>
                <w:color w:val="000000"/>
                <w:lang w:eastAsia="en-US"/>
              </w:rPr>
              <w:t>Тарко-Салинская ЦРБ</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3"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1</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r>
      <w:tr w:rsidR="00956E96" w:rsidRPr="00DA3789" w:rsidTr="00956E96">
        <w:trPr>
          <w:trHeight w:val="290"/>
        </w:trPr>
        <w:tc>
          <w:tcPr>
            <w:tcW w:w="3261" w:type="dxa"/>
          </w:tcPr>
          <w:p w:rsidR="00956E96" w:rsidRPr="00DA3789" w:rsidRDefault="00956E96" w:rsidP="006F2606">
            <w:pPr>
              <w:autoSpaceDE w:val="0"/>
              <w:autoSpaceDN w:val="0"/>
              <w:adjustRightInd w:val="0"/>
              <w:spacing w:line="360" w:lineRule="auto"/>
              <w:rPr>
                <w:rFonts w:eastAsiaTheme="minorHAnsi"/>
                <w:color w:val="000000"/>
                <w:lang w:eastAsia="en-US"/>
              </w:rPr>
            </w:pPr>
            <w:r w:rsidRPr="00DA3789">
              <w:rPr>
                <w:rFonts w:eastAsiaTheme="minorHAnsi"/>
                <w:color w:val="000000"/>
                <w:lang w:eastAsia="en-US"/>
              </w:rPr>
              <w:t>Губкинская ГБ</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1</w:t>
            </w:r>
          </w:p>
        </w:tc>
        <w:tc>
          <w:tcPr>
            <w:tcW w:w="993"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1</w:t>
            </w:r>
          </w:p>
        </w:tc>
        <w:tc>
          <w:tcPr>
            <w:tcW w:w="992" w:type="dxa"/>
          </w:tcPr>
          <w:p w:rsidR="00956E96" w:rsidRPr="00DA3789" w:rsidRDefault="00956E96" w:rsidP="006F2606">
            <w:pPr>
              <w:autoSpaceDE w:val="0"/>
              <w:autoSpaceDN w:val="0"/>
              <w:adjustRightInd w:val="0"/>
              <w:spacing w:line="360" w:lineRule="auto"/>
              <w:jc w:val="center"/>
              <w:rPr>
                <w:rFonts w:eastAsiaTheme="minorHAnsi"/>
                <w:color w:val="000000"/>
                <w:lang w:eastAsia="en-US"/>
              </w:rPr>
            </w:pPr>
            <w:r w:rsidRPr="00DA3789">
              <w:rPr>
                <w:rFonts w:eastAsiaTheme="minorHAnsi"/>
                <w:color w:val="000000"/>
                <w:lang w:eastAsia="en-US"/>
              </w:rPr>
              <w:t>0</w:t>
            </w:r>
          </w:p>
        </w:tc>
      </w:tr>
    </w:tbl>
    <w:p w:rsidR="00956E96" w:rsidRPr="00DA3789" w:rsidRDefault="00956E96" w:rsidP="006F2606">
      <w:pPr>
        <w:spacing w:line="360" w:lineRule="auto"/>
        <w:jc w:val="both"/>
      </w:pPr>
    </w:p>
    <w:p w:rsidR="00802746" w:rsidRPr="00DA3789" w:rsidRDefault="005C7DF0" w:rsidP="00734B2E">
      <w:pPr>
        <w:spacing w:line="480" w:lineRule="auto"/>
        <w:jc w:val="center"/>
      </w:pPr>
      <w:r w:rsidRPr="00DA3789">
        <w:t>Характер и особенности работы урологов в разных ЛПУ округа:</w:t>
      </w:r>
    </w:p>
    <w:p w:rsidR="005C7DF0" w:rsidRPr="00DA3789" w:rsidRDefault="005C7DF0" w:rsidP="001C51DB">
      <w:pPr>
        <w:spacing w:line="480" w:lineRule="auto"/>
        <w:jc w:val="both"/>
        <w:rPr>
          <w:rFonts w:eastAsiaTheme="minorHAnsi"/>
          <w:color w:val="000000"/>
          <w:lang w:eastAsia="en-US"/>
        </w:rPr>
      </w:pPr>
      <w:r w:rsidRPr="00DA3789">
        <w:t xml:space="preserve">1) </w:t>
      </w:r>
      <w:r w:rsidRPr="00DA3789">
        <w:rPr>
          <w:rFonts w:eastAsiaTheme="minorHAnsi"/>
          <w:color w:val="000000"/>
          <w:lang w:eastAsia="en-US"/>
        </w:rPr>
        <w:t>Салехардская ОКБ – неотложная урология по городу и близлежащи</w:t>
      </w:r>
      <w:r w:rsidR="006D3B63" w:rsidRPr="00DA3789">
        <w:rPr>
          <w:rFonts w:eastAsiaTheme="minorHAnsi"/>
          <w:color w:val="000000"/>
          <w:lang w:eastAsia="en-US"/>
        </w:rPr>
        <w:t>м</w:t>
      </w:r>
      <w:r w:rsidRPr="00DA3789">
        <w:rPr>
          <w:rFonts w:eastAsiaTheme="minorHAnsi"/>
          <w:color w:val="000000"/>
          <w:lang w:eastAsia="en-US"/>
        </w:rPr>
        <w:t xml:space="preserve"> район</w:t>
      </w:r>
      <w:r w:rsidR="006D3B63" w:rsidRPr="00DA3789">
        <w:rPr>
          <w:rFonts w:eastAsiaTheme="minorHAnsi"/>
          <w:color w:val="000000"/>
          <w:lang w:eastAsia="en-US"/>
        </w:rPr>
        <w:t>ам</w:t>
      </w:r>
      <w:r w:rsidRPr="00DA3789">
        <w:rPr>
          <w:rFonts w:eastAsiaTheme="minorHAnsi"/>
          <w:color w:val="000000"/>
          <w:lang w:eastAsia="en-US"/>
        </w:rPr>
        <w:t>, операции на НПО, весь спектр реконс</w:t>
      </w:r>
      <w:r w:rsidR="006D3B63" w:rsidRPr="00DA3789">
        <w:rPr>
          <w:rFonts w:eastAsiaTheme="minorHAnsi"/>
          <w:color w:val="000000"/>
          <w:lang w:eastAsia="en-US"/>
        </w:rPr>
        <w:t>т</w:t>
      </w:r>
      <w:r w:rsidRPr="00DA3789">
        <w:rPr>
          <w:rFonts w:eastAsiaTheme="minorHAnsi"/>
          <w:color w:val="000000"/>
          <w:lang w:eastAsia="en-US"/>
        </w:rPr>
        <w:t xml:space="preserve">руктивных и пластических операций на МПС, </w:t>
      </w:r>
      <w:r w:rsidR="006D3B63" w:rsidRPr="00DA3789">
        <w:rPr>
          <w:rFonts w:eastAsiaTheme="minorHAnsi"/>
          <w:color w:val="000000"/>
          <w:lang w:eastAsia="en-US"/>
        </w:rPr>
        <w:t>онкоурология, перкутанные операции и  ДУВЛТ в лечении МКБ, лапароскопические и ретроперитонеоскопические операции в урологии, урогинекология</w:t>
      </w:r>
      <w:r w:rsidR="00CF20CB" w:rsidRPr="00DA3789">
        <w:rPr>
          <w:rFonts w:eastAsiaTheme="minorHAnsi"/>
          <w:color w:val="000000"/>
          <w:lang w:eastAsia="en-US"/>
        </w:rPr>
        <w:t>, ТУР на нижних мочевых путях, операции ВМП.</w:t>
      </w:r>
    </w:p>
    <w:p w:rsidR="0003183A" w:rsidRPr="00DA3789" w:rsidRDefault="0003183A" w:rsidP="001C51DB">
      <w:pPr>
        <w:spacing w:line="480" w:lineRule="auto"/>
        <w:jc w:val="both"/>
        <w:rPr>
          <w:rFonts w:eastAsiaTheme="minorHAnsi"/>
          <w:color w:val="000000"/>
          <w:lang w:eastAsia="en-US"/>
        </w:rPr>
      </w:pPr>
      <w:r w:rsidRPr="00DA3789">
        <w:rPr>
          <w:rFonts w:eastAsiaTheme="minorHAnsi"/>
          <w:color w:val="000000"/>
          <w:lang w:eastAsia="en-US"/>
        </w:rPr>
        <w:t>2) Ноябрьская ЦГБ – неотложная урология по городу, операции на НПО, единичные реконструктивные и пластические операций на МПС, единичные лапароскопические операции в урологии, урогинекология, единичные ТУР на нижних мочевых путях</w:t>
      </w:r>
      <w:r w:rsidR="00F571DF" w:rsidRPr="00DA3789">
        <w:rPr>
          <w:rFonts w:eastAsiaTheme="minorHAnsi"/>
          <w:color w:val="000000"/>
          <w:lang w:eastAsia="en-US"/>
        </w:rPr>
        <w:t>.</w:t>
      </w:r>
    </w:p>
    <w:p w:rsidR="00F571DF" w:rsidRPr="00DA3789" w:rsidRDefault="00F571DF" w:rsidP="001C51DB">
      <w:pPr>
        <w:spacing w:line="480" w:lineRule="auto"/>
        <w:jc w:val="both"/>
        <w:rPr>
          <w:rFonts w:eastAsiaTheme="minorHAnsi"/>
          <w:color w:val="000000"/>
          <w:lang w:eastAsia="en-US"/>
        </w:rPr>
      </w:pPr>
      <w:r w:rsidRPr="00DA3789">
        <w:rPr>
          <w:rFonts w:eastAsiaTheme="minorHAnsi"/>
          <w:color w:val="000000"/>
          <w:lang w:eastAsia="en-US"/>
        </w:rPr>
        <w:lastRenderedPageBreak/>
        <w:t xml:space="preserve">3) </w:t>
      </w:r>
      <w:r w:rsidR="00477C98" w:rsidRPr="00DA3789">
        <w:rPr>
          <w:rFonts w:eastAsiaTheme="minorHAnsi"/>
          <w:color w:val="000000"/>
          <w:lang w:eastAsia="en-US"/>
        </w:rPr>
        <w:t>Ново-Уренгойская ЦГБ – неотложная урология по городу, операции на НПО, единичные реконструктивные и пластические операций на МПС, единичные ТУР на нижних мочевых путях.</w:t>
      </w:r>
    </w:p>
    <w:p w:rsidR="00CF20CB" w:rsidRPr="00DA3789" w:rsidRDefault="00CF20CB" w:rsidP="001C51DB">
      <w:pPr>
        <w:spacing w:line="480" w:lineRule="auto"/>
        <w:jc w:val="both"/>
        <w:rPr>
          <w:rFonts w:eastAsiaTheme="minorHAnsi"/>
          <w:color w:val="000000"/>
          <w:lang w:eastAsia="en-US"/>
        </w:rPr>
      </w:pPr>
      <w:r w:rsidRPr="00DA3789">
        <w:rPr>
          <w:rFonts w:eastAsiaTheme="minorHAnsi"/>
          <w:color w:val="000000"/>
          <w:lang w:eastAsia="en-US"/>
        </w:rPr>
        <w:t>4) Надымская ЦРБ, Тарко-Салинская ЦРБ, Губкинская ГБ - неотложная урология по городу, операции на НПО.</w:t>
      </w:r>
    </w:p>
    <w:p w:rsidR="006D3B63" w:rsidRPr="00626E74" w:rsidRDefault="001C0F58" w:rsidP="001C51DB">
      <w:pPr>
        <w:spacing w:line="480" w:lineRule="auto"/>
      </w:pPr>
      <w:r w:rsidRPr="00DA3789">
        <w:t xml:space="preserve">Большинство медицинских учреждений находятся в современных зданиях и оснащены диагностическим оборудованием, значительным количеством лекарственных препаратов, медицинским инвентарём. Наряду с этим, в распоряжении урологических служб есть недостаток эндоскопического, диагностического инструментария (УЗИ сканеры, операционные цистоскопы, эндоскопические видеостойки и пр.), а также отсутствует общедоступная возможность использования ДУВЛТ при МКБ (кроме г. Салехард). Покрыть потребности в ДУВЛТ при МКБ у всего округа в Салехардской ОКБ нет, так как там отсутствует отдельное урологическое отделение, а 10 коек и 2 врача-уролога хирургического отделения Салехардской ОКБ выполнить это не могут </w:t>
      </w:r>
      <w:r w:rsidRPr="00626E74">
        <w:t>физически.</w:t>
      </w:r>
    </w:p>
    <w:p w:rsidR="00626E74" w:rsidRPr="00626E74" w:rsidRDefault="00626E74" w:rsidP="00626E74">
      <w:pPr>
        <w:spacing w:line="480" w:lineRule="auto"/>
        <w:ind w:left="360"/>
        <w:jc w:val="both"/>
        <w:rPr>
          <w:b/>
        </w:rPr>
      </w:pPr>
      <w:r w:rsidRPr="00626E74">
        <w:rPr>
          <w:b/>
        </w:rPr>
        <w:t>Литература</w:t>
      </w:r>
    </w:p>
    <w:p w:rsidR="00626E74" w:rsidRPr="00626E74" w:rsidRDefault="00626E74" w:rsidP="00626E74">
      <w:pPr>
        <w:spacing w:line="480" w:lineRule="auto"/>
        <w:ind w:left="360"/>
        <w:jc w:val="both"/>
      </w:pPr>
      <w:r w:rsidRPr="00626E74">
        <w:t xml:space="preserve">1. </w:t>
      </w:r>
      <w:proofErr w:type="spellStart"/>
      <w:r w:rsidRPr="00626E74">
        <w:t>Каприн</w:t>
      </w:r>
      <w:proofErr w:type="spellEnd"/>
      <w:r w:rsidRPr="00626E74">
        <w:t xml:space="preserve"> А.Д., </w:t>
      </w:r>
      <w:proofErr w:type="spellStart"/>
      <w:r w:rsidRPr="00626E74">
        <w:t>Аполихин</w:t>
      </w:r>
      <w:proofErr w:type="spellEnd"/>
      <w:r w:rsidRPr="00626E74">
        <w:t xml:space="preserve"> О.И., Сивков А.В. и </w:t>
      </w:r>
      <w:proofErr w:type="spellStart"/>
      <w:r w:rsidRPr="00626E74">
        <w:t>соавт</w:t>
      </w:r>
      <w:proofErr w:type="spellEnd"/>
      <w:r w:rsidRPr="00626E74">
        <w:t xml:space="preserve">. Анализ </w:t>
      </w:r>
      <w:proofErr w:type="spellStart"/>
      <w:r w:rsidRPr="00626E74">
        <w:t>уронефрологической</w:t>
      </w:r>
      <w:proofErr w:type="spellEnd"/>
      <w:r w:rsidRPr="00626E74">
        <w:t xml:space="preserve"> заболеваемости и смертности в Российской Федерации за период 2002-2014 гг. по данным официальной статистики. Экспериментальная и клиническая урология 2016г; 3: 4-13. </w:t>
      </w:r>
    </w:p>
    <w:p w:rsidR="00626E74" w:rsidRPr="00626E74" w:rsidRDefault="00626E74" w:rsidP="00626E74">
      <w:pPr>
        <w:spacing w:line="480" w:lineRule="auto"/>
        <w:ind w:left="360"/>
        <w:jc w:val="both"/>
      </w:pPr>
      <w:r w:rsidRPr="00626E74">
        <w:t xml:space="preserve">2. Под ред. </w:t>
      </w:r>
      <w:proofErr w:type="spellStart"/>
      <w:r w:rsidRPr="00626E74">
        <w:t>Каприна</w:t>
      </w:r>
      <w:proofErr w:type="spellEnd"/>
      <w:r w:rsidRPr="00626E74">
        <w:t xml:space="preserve"> А.Д., </w:t>
      </w:r>
      <w:proofErr w:type="spellStart"/>
      <w:r w:rsidRPr="00626E74">
        <w:t>Старинского</w:t>
      </w:r>
      <w:proofErr w:type="spellEnd"/>
      <w:r w:rsidRPr="00626E74">
        <w:t xml:space="preserve"> В.В., Петровой Г.В. Состояние онкологической помощи населению России в 2015 году. </w:t>
      </w:r>
      <w:r w:rsidRPr="00626E74">
        <w:sym w:font="Symbol" w:char="F02D"/>
      </w:r>
      <w:r w:rsidRPr="00626E74">
        <w:t xml:space="preserve"> М.: МНИОИ им. П.А. Герцена филиал ФГБУ «НМИРЦ» Минздрава России, 2016. </w:t>
      </w:r>
    </w:p>
    <w:p w:rsidR="00626E74" w:rsidRPr="00DA3789" w:rsidRDefault="00626E74" w:rsidP="00FF510D">
      <w:pPr>
        <w:spacing w:line="360" w:lineRule="auto"/>
      </w:pPr>
    </w:p>
    <w:sectPr w:rsidR="00626E74" w:rsidRPr="00DA3789" w:rsidSect="00626E7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B75B6"/>
    <w:multiLevelType w:val="hybridMultilevel"/>
    <w:tmpl w:val="0FC0B6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A1B65AC"/>
    <w:multiLevelType w:val="hybridMultilevel"/>
    <w:tmpl w:val="06A0828C"/>
    <w:lvl w:ilvl="0" w:tplc="6B46ECCE">
      <w:start w:val="1"/>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9CE0FED"/>
    <w:multiLevelType w:val="hybridMultilevel"/>
    <w:tmpl w:val="A1084926"/>
    <w:lvl w:ilvl="0" w:tplc="354C2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D83D4C"/>
    <w:rsid w:val="0003183A"/>
    <w:rsid w:val="00046EA1"/>
    <w:rsid w:val="00090212"/>
    <w:rsid w:val="000A3C31"/>
    <w:rsid w:val="000A7505"/>
    <w:rsid w:val="000D39C0"/>
    <w:rsid w:val="00134601"/>
    <w:rsid w:val="001377E3"/>
    <w:rsid w:val="001538F4"/>
    <w:rsid w:val="0017431A"/>
    <w:rsid w:val="0018565F"/>
    <w:rsid w:val="001C0F58"/>
    <w:rsid w:val="001C51DB"/>
    <w:rsid w:val="001E3DA5"/>
    <w:rsid w:val="002A137C"/>
    <w:rsid w:val="003A5726"/>
    <w:rsid w:val="00425BEB"/>
    <w:rsid w:val="00437F9E"/>
    <w:rsid w:val="00477C98"/>
    <w:rsid w:val="004B69DC"/>
    <w:rsid w:val="004D25F2"/>
    <w:rsid w:val="005133A7"/>
    <w:rsid w:val="00522798"/>
    <w:rsid w:val="00546E7F"/>
    <w:rsid w:val="005C0019"/>
    <w:rsid w:val="005C7DF0"/>
    <w:rsid w:val="00614C64"/>
    <w:rsid w:val="00626E74"/>
    <w:rsid w:val="00697B4A"/>
    <w:rsid w:val="006D3B63"/>
    <w:rsid w:val="006F2606"/>
    <w:rsid w:val="00734B2E"/>
    <w:rsid w:val="00780EE5"/>
    <w:rsid w:val="00796E61"/>
    <w:rsid w:val="007A54A8"/>
    <w:rsid w:val="007D1FEC"/>
    <w:rsid w:val="007D3802"/>
    <w:rsid w:val="007F2B9E"/>
    <w:rsid w:val="00802746"/>
    <w:rsid w:val="00807B68"/>
    <w:rsid w:val="00843032"/>
    <w:rsid w:val="00956E96"/>
    <w:rsid w:val="009855CE"/>
    <w:rsid w:val="009A4067"/>
    <w:rsid w:val="009C273F"/>
    <w:rsid w:val="00A64079"/>
    <w:rsid w:val="00AB68A4"/>
    <w:rsid w:val="00AC1291"/>
    <w:rsid w:val="00C0677B"/>
    <w:rsid w:val="00C455E7"/>
    <w:rsid w:val="00CC04CE"/>
    <w:rsid w:val="00CC3CC1"/>
    <w:rsid w:val="00CF20CB"/>
    <w:rsid w:val="00CF4343"/>
    <w:rsid w:val="00D83D4C"/>
    <w:rsid w:val="00DA3789"/>
    <w:rsid w:val="00E176BD"/>
    <w:rsid w:val="00EA736F"/>
    <w:rsid w:val="00EB042A"/>
    <w:rsid w:val="00F571DF"/>
    <w:rsid w:val="00F8615E"/>
    <w:rsid w:val="00FD2529"/>
    <w:rsid w:val="00FF5052"/>
    <w:rsid w:val="00FF5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9DC"/>
    <w:rPr>
      <w:color w:val="0563C1" w:themeColor="hyperlink"/>
      <w:u w:val="single"/>
    </w:rPr>
  </w:style>
  <w:style w:type="paragraph" w:styleId="a4">
    <w:name w:val="List Paragraph"/>
    <w:basedOn w:val="a"/>
    <w:uiPriority w:val="34"/>
    <w:qFormat/>
    <w:rsid w:val="00C0677B"/>
    <w:pPr>
      <w:ind w:left="720"/>
      <w:contextualSpacing/>
    </w:pPr>
  </w:style>
  <w:style w:type="paragraph" w:styleId="a5">
    <w:name w:val="Balloon Text"/>
    <w:basedOn w:val="a"/>
    <w:link w:val="a6"/>
    <w:uiPriority w:val="99"/>
    <w:semiHidden/>
    <w:unhideWhenUsed/>
    <w:rsid w:val="000A7505"/>
    <w:rPr>
      <w:rFonts w:ascii="Tahoma" w:hAnsi="Tahoma" w:cs="Tahoma"/>
      <w:sz w:val="16"/>
      <w:szCs w:val="16"/>
    </w:rPr>
  </w:style>
  <w:style w:type="character" w:customStyle="1" w:styleId="a6">
    <w:name w:val="Текст выноски Знак"/>
    <w:basedOn w:val="a0"/>
    <w:link w:val="a5"/>
    <w:uiPriority w:val="99"/>
    <w:semiHidden/>
    <w:rsid w:val="000A7505"/>
    <w:rPr>
      <w:rFonts w:ascii="Tahoma" w:eastAsia="Times New Roman" w:hAnsi="Tahoma" w:cs="Tahoma"/>
      <w:sz w:val="16"/>
      <w:szCs w:val="16"/>
      <w:lang w:eastAsia="ru-RU"/>
    </w:rPr>
  </w:style>
  <w:style w:type="paragraph" w:styleId="a7">
    <w:name w:val="Normal (Web)"/>
    <w:basedOn w:val="a"/>
    <w:uiPriority w:val="99"/>
    <w:rsid w:val="00C455E7"/>
    <w:pPr>
      <w:spacing w:before="100" w:beforeAutospacing="1" w:after="100" w:afterAutospacing="1"/>
    </w:pPr>
  </w:style>
  <w:style w:type="paragraph" w:styleId="HTML">
    <w:name w:val="HTML Preformatted"/>
    <w:basedOn w:val="a"/>
    <w:link w:val="HTML0"/>
    <w:uiPriority w:val="99"/>
    <w:semiHidden/>
    <w:unhideWhenUsed/>
    <w:rsid w:val="00CC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C3CC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91724121">
      <w:bodyDiv w:val="1"/>
      <w:marLeft w:val="0"/>
      <w:marRight w:val="0"/>
      <w:marTop w:val="0"/>
      <w:marBottom w:val="0"/>
      <w:divBdr>
        <w:top w:val="none" w:sz="0" w:space="0" w:color="auto"/>
        <w:left w:val="none" w:sz="0" w:space="0" w:color="auto"/>
        <w:bottom w:val="none" w:sz="0" w:space="0" w:color="auto"/>
        <w:right w:val="none" w:sz="0" w:space="0" w:color="auto"/>
      </w:divBdr>
    </w:div>
    <w:div w:id="1608394126">
      <w:bodyDiv w:val="1"/>
      <w:marLeft w:val="0"/>
      <w:marRight w:val="0"/>
      <w:marTop w:val="0"/>
      <w:marBottom w:val="0"/>
      <w:divBdr>
        <w:top w:val="none" w:sz="0" w:space="0" w:color="auto"/>
        <w:left w:val="none" w:sz="0" w:space="0" w:color="auto"/>
        <w:bottom w:val="none" w:sz="0" w:space="0" w:color="auto"/>
        <w:right w:val="none" w:sz="0" w:space="0" w:color="auto"/>
      </w:divBdr>
    </w:div>
    <w:div w:id="1612785885">
      <w:bodyDiv w:val="1"/>
      <w:marLeft w:val="0"/>
      <w:marRight w:val="0"/>
      <w:marTop w:val="0"/>
      <w:marBottom w:val="0"/>
      <w:divBdr>
        <w:top w:val="none" w:sz="0" w:space="0" w:color="auto"/>
        <w:left w:val="none" w:sz="0" w:space="0" w:color="auto"/>
        <w:bottom w:val="none" w:sz="0" w:space="0" w:color="auto"/>
        <w:right w:val="none" w:sz="0" w:space="0" w:color="auto"/>
      </w:divBdr>
      <w:divsChild>
        <w:div w:id="832187965">
          <w:marLeft w:val="0"/>
          <w:marRight w:val="0"/>
          <w:marTop w:val="0"/>
          <w:marBottom w:val="0"/>
          <w:divBdr>
            <w:top w:val="none" w:sz="0" w:space="0" w:color="auto"/>
            <w:left w:val="none" w:sz="0" w:space="0" w:color="auto"/>
            <w:bottom w:val="none" w:sz="0" w:space="0" w:color="auto"/>
            <w:right w:val="none" w:sz="0" w:space="0" w:color="auto"/>
          </w:divBdr>
          <w:divsChild>
            <w:div w:id="160897581">
              <w:marLeft w:val="0"/>
              <w:marRight w:val="0"/>
              <w:marTop w:val="0"/>
              <w:marBottom w:val="0"/>
              <w:divBdr>
                <w:top w:val="none" w:sz="0" w:space="0" w:color="auto"/>
                <w:left w:val="none" w:sz="0" w:space="0" w:color="auto"/>
                <w:bottom w:val="none" w:sz="0" w:space="0" w:color="auto"/>
                <w:right w:val="none" w:sz="0" w:space="0" w:color="auto"/>
              </w:divBdr>
              <w:divsChild>
                <w:div w:id="1825664305">
                  <w:marLeft w:val="0"/>
                  <w:marRight w:val="0"/>
                  <w:marTop w:val="0"/>
                  <w:marBottom w:val="0"/>
                  <w:divBdr>
                    <w:top w:val="none" w:sz="0" w:space="0" w:color="auto"/>
                    <w:left w:val="none" w:sz="0" w:space="0" w:color="auto"/>
                    <w:bottom w:val="none" w:sz="0" w:space="0" w:color="auto"/>
                    <w:right w:val="none" w:sz="0" w:space="0" w:color="auto"/>
                  </w:divBdr>
                  <w:divsChild>
                    <w:div w:id="647130723">
                      <w:marLeft w:val="0"/>
                      <w:marRight w:val="0"/>
                      <w:marTop w:val="41"/>
                      <w:marBottom w:val="0"/>
                      <w:divBdr>
                        <w:top w:val="none" w:sz="0" w:space="0" w:color="auto"/>
                        <w:left w:val="none" w:sz="0" w:space="0" w:color="auto"/>
                        <w:bottom w:val="none" w:sz="0" w:space="0" w:color="auto"/>
                        <w:right w:val="none" w:sz="0" w:space="0" w:color="auto"/>
                      </w:divBdr>
                      <w:divsChild>
                        <w:div w:id="1463617377">
                          <w:marLeft w:val="0"/>
                          <w:marRight w:val="0"/>
                          <w:marTop w:val="0"/>
                          <w:marBottom w:val="0"/>
                          <w:divBdr>
                            <w:top w:val="none" w:sz="0" w:space="0" w:color="auto"/>
                            <w:left w:val="none" w:sz="0" w:space="0" w:color="auto"/>
                            <w:bottom w:val="none" w:sz="0" w:space="0" w:color="auto"/>
                            <w:right w:val="none" w:sz="0" w:space="0" w:color="auto"/>
                          </w:divBdr>
                          <w:divsChild>
                            <w:div w:id="1318848918">
                              <w:marLeft w:val="1875"/>
                              <w:marRight w:val="3451"/>
                              <w:marTop w:val="0"/>
                              <w:marBottom w:val="0"/>
                              <w:divBdr>
                                <w:top w:val="none" w:sz="0" w:space="0" w:color="auto"/>
                                <w:left w:val="none" w:sz="0" w:space="0" w:color="auto"/>
                                <w:bottom w:val="none" w:sz="0" w:space="0" w:color="auto"/>
                                <w:right w:val="none" w:sz="0" w:space="0" w:color="auto"/>
                              </w:divBdr>
                              <w:divsChild>
                                <w:div w:id="228853879">
                                  <w:marLeft w:val="0"/>
                                  <w:marRight w:val="0"/>
                                  <w:marTop w:val="0"/>
                                  <w:marBottom w:val="0"/>
                                  <w:divBdr>
                                    <w:top w:val="none" w:sz="0" w:space="0" w:color="auto"/>
                                    <w:left w:val="none" w:sz="0" w:space="0" w:color="auto"/>
                                    <w:bottom w:val="none" w:sz="0" w:space="0" w:color="auto"/>
                                    <w:right w:val="none" w:sz="0" w:space="0" w:color="auto"/>
                                  </w:divBdr>
                                  <w:divsChild>
                                    <w:div w:id="693386972">
                                      <w:marLeft w:val="0"/>
                                      <w:marRight w:val="0"/>
                                      <w:marTop w:val="0"/>
                                      <w:marBottom w:val="0"/>
                                      <w:divBdr>
                                        <w:top w:val="none" w:sz="0" w:space="0" w:color="auto"/>
                                        <w:left w:val="none" w:sz="0" w:space="0" w:color="auto"/>
                                        <w:bottom w:val="none" w:sz="0" w:space="0" w:color="auto"/>
                                        <w:right w:val="none" w:sz="0" w:space="0" w:color="auto"/>
                                      </w:divBdr>
                                      <w:divsChild>
                                        <w:div w:id="1214661581">
                                          <w:marLeft w:val="0"/>
                                          <w:marRight w:val="0"/>
                                          <w:marTop w:val="0"/>
                                          <w:marBottom w:val="0"/>
                                          <w:divBdr>
                                            <w:top w:val="none" w:sz="0" w:space="0" w:color="auto"/>
                                            <w:left w:val="none" w:sz="0" w:space="0" w:color="auto"/>
                                            <w:bottom w:val="none" w:sz="0" w:space="0" w:color="auto"/>
                                            <w:right w:val="none" w:sz="0" w:space="0" w:color="auto"/>
                                          </w:divBdr>
                                          <w:divsChild>
                                            <w:div w:id="1672831048">
                                              <w:marLeft w:val="0"/>
                                              <w:marRight w:val="0"/>
                                              <w:marTop w:val="0"/>
                                              <w:marBottom w:val="0"/>
                                              <w:divBdr>
                                                <w:top w:val="none" w:sz="0" w:space="0" w:color="auto"/>
                                                <w:left w:val="none" w:sz="0" w:space="0" w:color="auto"/>
                                                <w:bottom w:val="none" w:sz="0" w:space="0" w:color="auto"/>
                                                <w:right w:val="none" w:sz="0" w:space="0" w:color="auto"/>
                                              </w:divBdr>
                                              <w:divsChild>
                                                <w:div w:id="632634538">
                                                  <w:marLeft w:val="0"/>
                                                  <w:marRight w:val="0"/>
                                                  <w:marTop w:val="0"/>
                                                  <w:marBottom w:val="0"/>
                                                  <w:divBdr>
                                                    <w:top w:val="none" w:sz="0" w:space="0" w:color="auto"/>
                                                    <w:left w:val="none" w:sz="0" w:space="0" w:color="auto"/>
                                                    <w:bottom w:val="none" w:sz="0" w:space="0" w:color="auto"/>
                                                    <w:right w:val="none" w:sz="0" w:space="0" w:color="auto"/>
                                                  </w:divBdr>
                                                  <w:divsChild>
                                                    <w:div w:id="1929072603">
                                                      <w:marLeft w:val="0"/>
                                                      <w:marRight w:val="0"/>
                                                      <w:marTop w:val="0"/>
                                                      <w:marBottom w:val="0"/>
                                                      <w:divBdr>
                                                        <w:top w:val="none" w:sz="0" w:space="0" w:color="auto"/>
                                                        <w:left w:val="none" w:sz="0" w:space="0" w:color="auto"/>
                                                        <w:bottom w:val="none" w:sz="0" w:space="0" w:color="auto"/>
                                                        <w:right w:val="none" w:sz="0" w:space="0" w:color="auto"/>
                                                      </w:divBdr>
                                                      <w:divsChild>
                                                        <w:div w:id="1451630243">
                                                          <w:marLeft w:val="0"/>
                                                          <w:marRight w:val="0"/>
                                                          <w:marTop w:val="0"/>
                                                          <w:marBottom w:val="0"/>
                                                          <w:divBdr>
                                                            <w:top w:val="none" w:sz="0" w:space="0" w:color="auto"/>
                                                            <w:left w:val="none" w:sz="0" w:space="0" w:color="auto"/>
                                                            <w:bottom w:val="none" w:sz="0" w:space="0" w:color="auto"/>
                                                            <w:right w:val="none" w:sz="0" w:space="0" w:color="auto"/>
                                                          </w:divBdr>
                                                          <w:divsChild>
                                                            <w:div w:id="809053626">
                                                              <w:marLeft w:val="0"/>
                                                              <w:marRight w:val="0"/>
                                                              <w:marTop w:val="0"/>
                                                              <w:marBottom w:val="0"/>
                                                              <w:divBdr>
                                                                <w:top w:val="none" w:sz="0" w:space="0" w:color="auto"/>
                                                                <w:left w:val="none" w:sz="0" w:space="0" w:color="auto"/>
                                                                <w:bottom w:val="none" w:sz="0" w:space="0" w:color="auto"/>
                                                                <w:right w:val="none" w:sz="0" w:space="0" w:color="auto"/>
                                                              </w:divBdr>
                                                              <w:divsChild>
                                                                <w:div w:id="1743944203">
                                                                  <w:marLeft w:val="0"/>
                                                                  <w:marRight w:val="0"/>
                                                                  <w:marTop w:val="0"/>
                                                                  <w:marBottom w:val="0"/>
                                                                  <w:divBdr>
                                                                    <w:top w:val="none" w:sz="0" w:space="0" w:color="auto"/>
                                                                    <w:left w:val="none" w:sz="0" w:space="0" w:color="auto"/>
                                                                    <w:bottom w:val="none" w:sz="0" w:space="0" w:color="auto"/>
                                                                    <w:right w:val="none" w:sz="0" w:space="0" w:color="auto"/>
                                                                  </w:divBdr>
                                                                  <w:divsChild>
                                                                    <w:div w:id="1275672793">
                                                                      <w:marLeft w:val="0"/>
                                                                      <w:marRight w:val="0"/>
                                                                      <w:marTop w:val="0"/>
                                                                      <w:marBottom w:val="0"/>
                                                                      <w:divBdr>
                                                                        <w:top w:val="none" w:sz="0" w:space="0" w:color="auto"/>
                                                                        <w:left w:val="none" w:sz="0" w:space="0" w:color="auto"/>
                                                                        <w:bottom w:val="none" w:sz="0" w:space="0" w:color="auto"/>
                                                                        <w:right w:val="none" w:sz="0" w:space="0" w:color="auto"/>
                                                                      </w:divBdr>
                                                                      <w:divsChild>
                                                                        <w:div w:id="1120757729">
                                                                          <w:marLeft w:val="0"/>
                                                                          <w:marRight w:val="0"/>
                                                                          <w:marTop w:val="0"/>
                                                                          <w:marBottom w:val="0"/>
                                                                          <w:divBdr>
                                                                            <w:top w:val="none" w:sz="0" w:space="0" w:color="auto"/>
                                                                            <w:left w:val="none" w:sz="0" w:space="0" w:color="auto"/>
                                                                            <w:bottom w:val="none" w:sz="0" w:space="0" w:color="auto"/>
                                                                            <w:right w:val="none" w:sz="0" w:space="0" w:color="auto"/>
                                                                          </w:divBdr>
                                                                          <w:divsChild>
                                                                            <w:div w:id="790438125">
                                                                              <w:marLeft w:val="0"/>
                                                                              <w:marRight w:val="0"/>
                                                                              <w:marTop w:val="0"/>
                                                                              <w:marBottom w:val="0"/>
                                                                              <w:divBdr>
                                                                                <w:top w:val="none" w:sz="0" w:space="0" w:color="auto"/>
                                                                                <w:left w:val="none" w:sz="0" w:space="0" w:color="auto"/>
                                                                                <w:bottom w:val="none" w:sz="0" w:space="0" w:color="auto"/>
                                                                                <w:right w:val="none" w:sz="0" w:space="0" w:color="auto"/>
                                                                              </w:divBdr>
                                                                              <w:divsChild>
                                                                                <w:div w:id="1064110565">
                                                                                  <w:marLeft w:val="0"/>
                                                                                  <w:marRight w:val="0"/>
                                                                                  <w:marTop w:val="0"/>
                                                                                  <w:marBottom w:val="0"/>
                                                                                  <w:divBdr>
                                                                                    <w:top w:val="none" w:sz="0" w:space="0" w:color="auto"/>
                                                                                    <w:left w:val="none" w:sz="0" w:space="0" w:color="auto"/>
                                                                                    <w:bottom w:val="none" w:sz="0" w:space="0" w:color="auto"/>
                                                                                    <w:right w:val="none" w:sz="0" w:space="0" w:color="auto"/>
                                                                                  </w:divBdr>
                                                                                  <w:divsChild>
                                                                                    <w:div w:id="2153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6.0134226035594533E-2"/>
          <c:y val="4.4057617797775533E-2"/>
          <c:w val="0.69458784677123842"/>
          <c:h val="0.85119622782605697"/>
        </c:manualLayout>
      </c:layout>
      <c:bar3DChart>
        <c:barDir val="col"/>
        <c:grouping val="standard"/>
        <c:ser>
          <c:idx val="0"/>
          <c:order val="0"/>
          <c:tx>
            <c:strRef>
              <c:f>Лист1!$B$1</c:f>
              <c:strCache>
                <c:ptCount val="1"/>
                <c:pt idx="0">
                  <c:v>Первичная заболеваемость по болезням мочеполовой сферы на 1000 населения ЯНАО</c:v>
                </c:pt>
              </c:strCache>
            </c:strRef>
          </c:tx>
          <c:spPr>
            <a:solidFill>
              <a:srgbClr val="0070C0"/>
            </a:solidFill>
          </c:spPr>
          <c:dPt>
            <c:idx val="12"/>
            <c:spPr>
              <a:solidFill>
                <a:srgbClr val="92D050"/>
              </a:solidFill>
            </c:spPr>
          </c:dPt>
          <c:dLbls>
            <c:spPr>
              <a:noFill/>
              <a:ln w="25240">
                <a:noFill/>
              </a:ln>
            </c:spPr>
            <c:txPr>
              <a:bodyPr/>
              <a:lstStyle/>
              <a:p>
                <a:pPr>
                  <a:defRPr sz="894" b="1"/>
                </a:pPr>
                <a:endParaRPr lang="ru-RU"/>
              </a:p>
            </c:txPr>
            <c:showVal val="1"/>
            <c:extLst>
              <c:ext xmlns:c15="http://schemas.microsoft.com/office/drawing/2012/chart" uri="{CE6537A1-D6FC-4f65-9D91-7224C49458BB}">
                <c15:layout/>
                <c15:showLeaderLines val="0"/>
              </c:ext>
            </c:extLst>
          </c:dLbls>
          <c:cat>
            <c:strRef>
              <c:f>Лист1!$A$2:$A$14</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РФ в 2014 г.</c:v>
                </c:pt>
              </c:strCache>
            </c:strRef>
          </c:cat>
          <c:val>
            <c:numRef>
              <c:f>Лист1!$B$2:$B$14</c:f>
              <c:numCache>
                <c:formatCode>General</c:formatCode>
                <c:ptCount val="13"/>
                <c:pt idx="0">
                  <c:v>90.4</c:v>
                </c:pt>
                <c:pt idx="1">
                  <c:v>86.9</c:v>
                </c:pt>
                <c:pt idx="2">
                  <c:v>90.4</c:v>
                </c:pt>
                <c:pt idx="3">
                  <c:v>91.3</c:v>
                </c:pt>
                <c:pt idx="4">
                  <c:v>88.6</c:v>
                </c:pt>
                <c:pt idx="5">
                  <c:v>91.6</c:v>
                </c:pt>
                <c:pt idx="6">
                  <c:v>93.4</c:v>
                </c:pt>
                <c:pt idx="7">
                  <c:v>96.3</c:v>
                </c:pt>
                <c:pt idx="8">
                  <c:v>87.5</c:v>
                </c:pt>
                <c:pt idx="9">
                  <c:v>92.9</c:v>
                </c:pt>
                <c:pt idx="10">
                  <c:v>83.6</c:v>
                </c:pt>
                <c:pt idx="11">
                  <c:v>83.4</c:v>
                </c:pt>
                <c:pt idx="12">
                  <c:v>49</c:v>
                </c:pt>
              </c:numCache>
            </c:numRef>
          </c:val>
        </c:ser>
        <c:ser>
          <c:idx val="1"/>
          <c:order val="1"/>
          <c:tx>
            <c:strRef>
              <c:f>Лист1!$C$1</c:f>
              <c:strCache>
                <c:ptCount val="1"/>
                <c:pt idx="0">
                  <c:v>Общая заболеваемость по болезням мочеполовой сферы на 1000 населения ЯНАО</c:v>
                </c:pt>
              </c:strCache>
            </c:strRef>
          </c:tx>
          <c:spPr>
            <a:solidFill>
              <a:srgbClr val="F79646">
                <a:lumMod val="75000"/>
              </a:srgbClr>
            </a:solidFill>
          </c:spPr>
          <c:dPt>
            <c:idx val="11"/>
            <c:spPr>
              <a:solidFill>
                <a:schemeClr val="accent2"/>
              </a:solidFill>
            </c:spPr>
          </c:dPt>
          <c:dPt>
            <c:idx val="12"/>
            <c:spPr>
              <a:solidFill>
                <a:srgbClr val="92D050"/>
              </a:solidFill>
            </c:spPr>
          </c:dPt>
          <c:dLbls>
            <c:spPr>
              <a:noFill/>
              <a:ln w="25240">
                <a:noFill/>
              </a:ln>
            </c:spPr>
            <c:txPr>
              <a:bodyPr/>
              <a:lstStyle/>
              <a:p>
                <a:pPr>
                  <a:defRPr sz="894" b="1"/>
                </a:pPr>
                <a:endParaRPr lang="ru-RU"/>
              </a:p>
            </c:txPr>
            <c:showVal val="1"/>
            <c:extLst>
              <c:ext xmlns:c15="http://schemas.microsoft.com/office/drawing/2012/chart" uri="{CE6537A1-D6FC-4f65-9D91-7224C49458BB}">
                <c15:layout/>
                <c15:showLeaderLines val="0"/>
              </c:ext>
            </c:extLst>
          </c:dLbls>
          <c:cat>
            <c:strRef>
              <c:f>Лист1!$A$2:$A$14</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РФ в 2014 г.</c:v>
                </c:pt>
              </c:strCache>
            </c:strRef>
          </c:cat>
          <c:val>
            <c:numRef>
              <c:f>Лист1!$C$2:$C$14</c:f>
              <c:numCache>
                <c:formatCode>General</c:formatCode>
                <c:ptCount val="13"/>
                <c:pt idx="0">
                  <c:v>152.4</c:v>
                </c:pt>
                <c:pt idx="1">
                  <c:v>159.80000000000001</c:v>
                </c:pt>
                <c:pt idx="2">
                  <c:v>160</c:v>
                </c:pt>
                <c:pt idx="3">
                  <c:v>166.6</c:v>
                </c:pt>
                <c:pt idx="4">
                  <c:v>163.6</c:v>
                </c:pt>
                <c:pt idx="5">
                  <c:v>162.69999999999999</c:v>
                </c:pt>
                <c:pt idx="6">
                  <c:v>176.9</c:v>
                </c:pt>
                <c:pt idx="7">
                  <c:v>183.4</c:v>
                </c:pt>
                <c:pt idx="8">
                  <c:v>167.9</c:v>
                </c:pt>
                <c:pt idx="9">
                  <c:v>170.4</c:v>
                </c:pt>
                <c:pt idx="10">
                  <c:v>164.5</c:v>
                </c:pt>
                <c:pt idx="11">
                  <c:v>167.8</c:v>
                </c:pt>
                <c:pt idx="12">
                  <c:v>116.6</c:v>
                </c:pt>
              </c:numCache>
            </c:numRef>
          </c:val>
        </c:ser>
        <c:shape val="box"/>
        <c:axId val="88980480"/>
        <c:axId val="90419968"/>
        <c:axId val="79077824"/>
      </c:bar3DChart>
      <c:catAx>
        <c:axId val="88980480"/>
        <c:scaling>
          <c:orientation val="minMax"/>
        </c:scaling>
        <c:axPos val="b"/>
        <c:numFmt formatCode="General" sourceLinked="1"/>
        <c:tickLblPos val="nextTo"/>
        <c:txPr>
          <a:bodyPr/>
          <a:lstStyle/>
          <a:p>
            <a:pPr>
              <a:defRPr sz="795" b="1"/>
            </a:pPr>
            <a:endParaRPr lang="ru-RU"/>
          </a:p>
        </c:txPr>
        <c:crossAx val="90419968"/>
        <c:crosses val="autoZero"/>
        <c:auto val="1"/>
        <c:lblAlgn val="ctr"/>
        <c:lblOffset val="100"/>
      </c:catAx>
      <c:valAx>
        <c:axId val="90419968"/>
        <c:scaling>
          <c:orientation val="minMax"/>
        </c:scaling>
        <c:axPos val="l"/>
        <c:majorGridlines/>
        <c:numFmt formatCode="General" sourceLinked="1"/>
        <c:tickLblPos val="nextTo"/>
        <c:txPr>
          <a:bodyPr/>
          <a:lstStyle/>
          <a:p>
            <a:pPr>
              <a:defRPr sz="894"/>
            </a:pPr>
            <a:endParaRPr lang="ru-RU"/>
          </a:p>
        </c:txPr>
        <c:crossAx val="88980480"/>
        <c:crosses val="autoZero"/>
        <c:crossBetween val="between"/>
        <c:majorUnit val="25"/>
      </c:valAx>
      <c:serAx>
        <c:axId val="79077824"/>
        <c:scaling>
          <c:orientation val="minMax"/>
        </c:scaling>
        <c:delete val="1"/>
        <c:axPos val="b"/>
        <c:tickLblPos val="none"/>
        <c:crossAx val="90419968"/>
        <c:crosses val="autoZero"/>
      </c:serAx>
      <c:spPr>
        <a:noFill/>
        <a:ln w="25240">
          <a:noFill/>
        </a:ln>
      </c:spPr>
    </c:plotArea>
    <c:legend>
      <c:legendPos val="r"/>
      <c:layout>
        <c:manualLayout>
          <c:xMode val="edge"/>
          <c:yMode val="edge"/>
          <c:x val="0.73840439683266956"/>
          <c:y val="4.3270463285112616E-2"/>
          <c:w val="0.24771108064251637"/>
          <c:h val="0.89910126350485653"/>
        </c:manualLayout>
      </c:layout>
      <c:txPr>
        <a:bodyPr/>
        <a:lstStyle/>
        <a:p>
          <a:pPr>
            <a:defRPr b="1"/>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Чибисов Александр Александрович</dc:creator>
  <cp:lastModifiedBy>user</cp:lastModifiedBy>
  <cp:revision>60</cp:revision>
  <cp:lastPrinted>2017-02-16T04:44:00Z</cp:lastPrinted>
  <dcterms:created xsi:type="dcterms:W3CDTF">2017-02-02T15:36:00Z</dcterms:created>
  <dcterms:modified xsi:type="dcterms:W3CDTF">2017-02-16T04:53:00Z</dcterms:modified>
</cp:coreProperties>
</file>